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B3A" w:rsidRPr="004879F6" w:rsidRDefault="00FF1B3A" w:rsidP="00FF1B3A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4879F6">
        <w:rPr>
          <w:rFonts w:ascii="Times New Roman" w:hAnsi="Times New Roman" w:cs="Times New Roman"/>
          <w:b/>
          <w:sz w:val="20"/>
          <w:szCs w:val="20"/>
        </w:rPr>
        <w:t>Anlage 17.2</w:t>
      </w:r>
    </w:p>
    <w:p w:rsidR="00FF1B3A" w:rsidRPr="004879F6" w:rsidRDefault="00FF1B3A" w:rsidP="00FF1B3A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 xml:space="preserve">Ausbildungsinhalte </w:t>
      </w:r>
    </w:p>
    <w:p w:rsidR="00FF1B3A" w:rsidRPr="004879F6" w:rsidRDefault="00FF1B3A" w:rsidP="00FF1B3A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zum Sonderfach Klinische Mikrobiologie und Virologie</w:t>
      </w:r>
    </w:p>
    <w:p w:rsidR="00FF1B3A" w:rsidRPr="004879F6" w:rsidRDefault="00FF1B3A" w:rsidP="00FF1B3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F1B3A" w:rsidRPr="004879F6" w:rsidRDefault="00FF1B3A" w:rsidP="00FF1B3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79F6">
        <w:rPr>
          <w:rFonts w:ascii="Times New Roman" w:hAnsi="Times New Roman" w:cs="Times New Roman"/>
          <w:b/>
          <w:sz w:val="20"/>
          <w:szCs w:val="20"/>
        </w:rPr>
        <w:t>Sonderfach Grundausbildung (36 Monate)</w:t>
      </w:r>
    </w:p>
    <w:p w:rsidR="00FF1B3A" w:rsidRPr="004879F6" w:rsidRDefault="00FF1B3A" w:rsidP="00FF1B3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Bakteriologie/Mykologie/Parasitologie: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3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der Bakteriologie/Mykologie/Parasitologie: Taxonomie und Genetik der medizinisch relevanten Erreger, Epidemiologie, Habitate von Mikroorganismen, opportunistische Krankheitserreger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3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Prinzipien der Identifikation von Bakterien, Pilzen und Parasiten, Methoden und Anwendungsgebiete der molekularbiologischen Typisierung von Infektionserregern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3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Präanalytik: Indikationsstellung zur mikrobiologischen Untersuchung, Beratung, Materialauswahl, richtige Probenabnahme, Annahme- und Rückweisekriterien und Lagerung von Probenmaterial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3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Klinik und Pathogenese von Infektionen durch Bakterien, Mykobakterien, Pilze und Parasiten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3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Wirkung von Antibiotika, Antimykotika, Antiparasitika und anderen Antiinfektiva, Einsatz in Prophylaxe, empirischer und gezielter Therapie, Antiinfektivaresistenz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Virologie: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4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der Virologie: Taxonomie und Genetik der medizinisch relevanten Erreger, Interaktion zwischen Wirt und Virus, Epidemiologie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4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Prinzipien der Identifikation von Viren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4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Präanalytik: Indikationsstellung zur virologischen Untersuchung, Beratung, Materialauswahl, richtige Probenabnahme, Annahme- und Rückweisekriterien und Lagerung von Probenmaterial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4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Klinik und Pathogenese von Infektionen durch Viren, Krankheitsverläufe (Latenz, Persistenz, akute und chronische Virusinfektionen)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4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Wirkungsweise der aktiven und passiven Immunisierung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4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Wirkung von Virostatika, Einsatz in Prophylaxe, empirischer und gezielter Therapie, Resistenz gegen antivirale Medikamente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Krankenhaushygiene: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5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Überblick über Infektionswege und –quellen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5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Einsatz und Evaluierung von Aufbereitungsverfahren (Reinigung, Desinfektion, Sterilisation – manuelle und maschinelle Verfahren, chemische, chemothermische und thermische Verfahren)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5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Surveillance und Infektionsepidemiologie nosokomialer Infektionen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5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Interventionsmöglichkeiten bei Häufung nosokomialer Infektionen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5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Beratung bei Baumaßnahmen und vor Beschaffung von Medizinprodukten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5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Validierung von Aufbereitungsprozessen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5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Hygiene in Gesundheitseinrichtungen 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5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krankenhaushygienisch relevante Gesetze, Normen und Richtlinien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Umwelthygiene und Öffentliche Gesundheit: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6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allgemeine Grundlagen der Umwelthygiene, Lebensmittel-, Wasser- und Abwasserhygiene, Arbeits-, Betriebs- und Sozialhygiene, Präventivmedizin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6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Untersuchungsverfahren der Umwelthygiene</w:t>
            </w:r>
          </w:p>
        </w:tc>
      </w:tr>
    </w:tbl>
    <w:p w:rsidR="00FF1B3A" w:rsidRDefault="00FF1B3A">
      <w:bookmarkStart w:id="0" w:name="_GoBack"/>
      <w:bookmarkEnd w:id="0"/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6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lastRenderedPageBreak/>
              <w:t>Rechtsvorschriften und Normen für die einzelnen Teilbereiche der Hygiene, insbesondere der Umwelt-, Lebensmittel-, Wasser- und Abwasserhygiene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6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chemische und physikalische Umwelteinflüsse, chemische, physikalische, psychologische und soziale Noxen am Arbeitsplatz, mikrobielle und chemische Verunreinigungen von Wasser, Lebensmitteln und Luft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6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Krankheitsprävention, Gesundheitsförderung, Gesundheitssoziologie und -psychologie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6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des öffentlichen Gesundheitswesens (Aufgaben, Organisation)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6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Behördenverfahren, rechtliche Grundlagen der Gesundheitsvorsorge und der Infektionsprävention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Spezifische Prophylaxe, Tropen- und Reisemedizin: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der Immunabwehr bei Infektionen aller Altersgruppen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Grundlagen der Tropen- und Reisemedizin 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Infektiologie: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der Infektionsdiagnostik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der antimikrobiellen Therapie inkl. therapiebegleitende Untersuchungen und Verlaufskontrollen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der Infektionsepidemiologie, lokale/nationale/globale Resistenzsituation wichtiger Erreger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Umwelt- und arbeitsbedingte Risiken und Erkrankungen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Gesundheitsberatung, Prävention, Vorsorgemedizin und gesundheitliche Aufklärung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Patientinnen- und Patientensicherheit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Einschlägige Rechtsvorschriften für die Ausübung des ärztlichen Berufes, insbesondere betreffend das Sozial-, Fürsorge- und Gesundheitswesen, einschließlich entsprechender Institutionenkunde des österreichischen Gesundheitswesens und des Sozialversicherungssystems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der Dokumentation und Arzthaftung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der multidisziplinären Koordination und Kooperation, insbesondere mit anderen Gesundheitsberufen und Möglichkeiten der Rehabilitation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Gesundheitsökonomische Auswirkungen ärztlichen Handelns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Ethik ärztlichen Handelns</w:t>
            </w:r>
          </w:p>
        </w:tc>
      </w:tr>
    </w:tbl>
    <w:p w:rsidR="00FF1B3A" w:rsidRPr="004879F6" w:rsidRDefault="00FF1B3A" w:rsidP="00FF1B3A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9"/>
              </w:numPr>
              <w:spacing w:after="0" w:line="240" w:lineRule="auto"/>
              <w:ind w:left="426" w:hanging="42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Bakteriologie/Mykologie/Parasitologie: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0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Grundlagen der Bakteriologie/Mykologie/Parasitologie und der entsprechenden Infektdiagnostik: Taxonomie und Genetik der medizinisch relevanten Erreger</w:t>
            </w:r>
            <w:r w:rsidRPr="004879F6">
              <w:rPr>
                <w:rFonts w:ascii="Times New Roman" w:hAnsi="Times New Roman" w:cs="Times New Roman"/>
                <w:sz w:val="20"/>
              </w:rPr>
              <w:t>,</w:t>
            </w: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 Epidemiologie</w:t>
            </w:r>
            <w:r w:rsidRPr="004879F6">
              <w:rPr>
                <w:rFonts w:ascii="Times New Roman" w:hAnsi="Times New Roman" w:cs="Times New Roman"/>
                <w:sz w:val="20"/>
              </w:rPr>
              <w:t>,</w:t>
            </w: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 Habitate von Mikroorganismen</w:t>
            </w:r>
            <w:r w:rsidRPr="004879F6">
              <w:rPr>
                <w:rFonts w:ascii="Times New Roman" w:hAnsi="Times New Roman" w:cs="Times New Roman"/>
                <w:sz w:val="20"/>
              </w:rPr>
              <w:t>,</w:t>
            </w: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 opportunistische Krankheitserreger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0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Prinzipien der Identifikation von Bakterien, Pilzen und Parasiten</w:t>
            </w:r>
            <w:r w:rsidRPr="004879F6">
              <w:rPr>
                <w:rFonts w:ascii="Times New Roman" w:hAnsi="Times New Roman" w:cs="Times New Roman"/>
                <w:sz w:val="20"/>
              </w:rPr>
              <w:t>,</w:t>
            </w: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 Methoden und Anwendungsgebiete der molekularbiologischen Typisierung von Infektionserregern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0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Präanalytik: Indikationsstellung zur mikrobiologischen Untersuchung, Beratung, Materialauswahl, richtige Probenabnahme, Annahme- und Rückweisekriterien und Lagerung von Probenmaterial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0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Klinik und Pathogenese von Infektionen durch Bakterien, Mykobakterien, Pilze und Parasiten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1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Wirkung von Antibiotika, Antimykotika, Antiparasitika und anderen Antiinfektiva, Einsatz in Prophylaxe, empirischer und gezielter Therapie, Antiinfektivaresistenz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Virologie: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2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Taxonomie und Genetik der medizinisch relevanten Erreger, Interaktion zwischen Wirt und Virus, Epidemiologie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2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Prinzipien der Identifikation von Viren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2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virologische Infektionsdiagnostik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2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Präanalytik: Indikationsstellung zur virologischen Untersuchung, Beratung, Materialauswahl, richtige Probenabnahme, Annahme- und Rückweisekriterien und Lagerung von Probenmaterial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2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Klinik und Pathogenese von Infektionen durch Viren, Krankheitsverläufe 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2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Wirkungsweise der aktiven und passiven Immunisierung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2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Wirkung von Virostatika; Einsatz in Prophylaxe, empirischer und gezielter Therapie, Resistenz gegen antivirale Medikamente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Krankenhaushygiene: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3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Überprüfung und Befundung von Verfahren zur Aufbereitung von Medizinprodukten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3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antimikrobiales </w:t>
            </w:r>
            <w:r w:rsidRPr="004879F6">
              <w:rPr>
                <w:rFonts w:ascii="Times New Roman" w:hAnsi="Times New Roman" w:cs="Times New Roman"/>
                <w:sz w:val="20"/>
              </w:rPr>
              <w:t>Stewardship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3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Mitwirkung an Stellungnahmen zu krankenhaushygienischen Fragestellungen</w:t>
            </w:r>
            <w:r w:rsidRPr="004879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Umwelthygiene und Öffentliche Gesundheit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4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hygienisch-mikrobiologische Untersuchung, Beurteilung und Begutachtung nicht-klinischer Proben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Spezifische Prophylaxe, Tropen- und Reisemedizin: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5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Überprüfung des Impferfolgs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5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diagnostische Abklärung von Reiserückkehrerinnen und -rückkehrer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Labororganisation, Ressourcenmanagement, Qualitätsmanagement, fachspezifische Beratung und Teilnahme an Visiten bzw. Situationsbeurteilung vor Ort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Infektiologie: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spacing w:after="0"/>
              <w:ind w:left="709" w:hanging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Behandlung von Patientinnen und Patienten mit Infektionskrankheiten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Qualitätssicherung und Dokumentation</w:t>
            </w:r>
          </w:p>
        </w:tc>
      </w:tr>
    </w:tbl>
    <w:p w:rsidR="00FF1B3A" w:rsidRPr="004879F6" w:rsidRDefault="00FF1B3A" w:rsidP="00FF1B3A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4"/>
        <w:gridCol w:w="1422"/>
      </w:tblGrid>
      <w:tr w:rsidR="00FF1B3A" w:rsidRPr="004879F6" w:rsidTr="00BE4DBF">
        <w:tc>
          <w:tcPr>
            <w:tcW w:w="81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FF1B3A" w:rsidRPr="004879F6" w:rsidTr="00BE4DBF">
        <w:tc>
          <w:tcPr>
            <w:tcW w:w="81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6"/>
              </w:numPr>
              <w:spacing w:after="0" w:line="240" w:lineRule="auto"/>
              <w:ind w:left="426" w:hanging="42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hi-IN" w:bidi="hi-IN"/>
              </w:rPr>
              <w:t>Bakteriologie/Mykologie/Parasitologie: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1B3A" w:rsidRPr="004879F6" w:rsidTr="00BE4DBF">
        <w:tc>
          <w:tcPr>
            <w:tcW w:w="81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Mikroskopie: Mikroskopier-, Färbe- und Messmethoden, Nachweis von Mikroorganismen durch verschiedene Nachweisverfahren in Untersuchungsproben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1B3A" w:rsidRPr="004879F6" w:rsidTr="00BE4DBF">
        <w:tc>
          <w:tcPr>
            <w:tcW w:w="81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Anzucht von Bakterien und Pilzen auf verschiedenen Nährmedien; Identifizierung mittels morphologischer, biochemischer, immunologischer, molekularbiologischer und anderer Verfahren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1B3A" w:rsidRPr="004879F6" w:rsidTr="00BE4DBF">
        <w:tc>
          <w:tcPr>
            <w:tcW w:w="81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Nachweis der Empfindlichkeit und Resistenz gegen Antibiotika, Antimykotika und anderer Antiinfektiva mit qualitativen und quantitativen Verfahren, mikrobiologischer, biochemischer und molekularbiologischer Nachweis von Resistenzmechanismen, Konzentrationsbestimmung antimikrobieller Substanzen aus Untersuchungsproben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1B3A" w:rsidRPr="004879F6" w:rsidTr="00BE4DBF">
        <w:tc>
          <w:tcPr>
            <w:tcW w:w="81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Verfahren der bakteriologisch-mykologisch-parasitologischen Infektionsserologie und Infektionsimmunologie, direkter und indirekter Erregernachweis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1B3A" w:rsidRPr="004879F6" w:rsidTr="00BE4DBF">
        <w:tc>
          <w:tcPr>
            <w:tcW w:w="81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Befunderstellung und Interpretation im Zusammenhang mit dem klinischen Bild, Therapieempfehlungen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1B3A" w:rsidRPr="004879F6" w:rsidTr="00BE4DBF">
        <w:tc>
          <w:tcPr>
            <w:tcW w:w="81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hi-IN" w:bidi="hi-IN"/>
              </w:rPr>
              <w:t>Virologie: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1B3A" w:rsidRPr="004879F6" w:rsidTr="00BE4DBF">
        <w:tc>
          <w:tcPr>
            <w:tcW w:w="81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Erhebung infektionsrelevanter Anamnesen, </w:t>
            </w:r>
            <w:r w:rsidRPr="004879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fachspezifische Probengewinnung, Diagnostik und Befundinterpretation 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1B3A" w:rsidRPr="004879F6" w:rsidTr="00BE4DBF">
        <w:tc>
          <w:tcPr>
            <w:tcW w:w="81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qualitative und quantitative Verfahren der diagnostischen Virologie, Identifikation durch Antigennachweis mittels immunologischer Verfahren, Nukleinsäurenachweis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F1B3A" w:rsidRDefault="00FF1B3A"/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4"/>
        <w:gridCol w:w="1422"/>
      </w:tblGrid>
      <w:tr w:rsidR="00FF1B3A" w:rsidRPr="004879F6" w:rsidTr="00BE4DBF">
        <w:tc>
          <w:tcPr>
            <w:tcW w:w="81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lastRenderedPageBreak/>
              <w:t>Verfahren der virologischen Infektionsserologie und Infektionsimmunologie, direkter und indirekter Erregernachweis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1B3A" w:rsidRPr="004879F6" w:rsidTr="00BE4DBF">
        <w:tc>
          <w:tcPr>
            <w:tcW w:w="81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Beurteilung der Validität von Testergebnissen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1B3A" w:rsidRPr="004879F6" w:rsidTr="00BE4DBF">
        <w:tc>
          <w:tcPr>
            <w:tcW w:w="81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Befunderstellung und Interpretation im Zusammenhang mit dem klinischen Bild 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1B3A" w:rsidRPr="004879F6" w:rsidTr="00BE4DBF">
        <w:tc>
          <w:tcPr>
            <w:tcW w:w="81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hi-IN" w:bidi="hi-IN"/>
              </w:rPr>
              <w:t>Empfehlungen betreffend die Infektionsprävention (aktive und passive Immunisierung) und die therapeutischen Möglichkeiten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1B3A" w:rsidRPr="004879F6" w:rsidTr="00BE4DBF">
        <w:tc>
          <w:tcPr>
            <w:tcW w:w="81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hi-IN" w:bidi="hi-IN"/>
              </w:rPr>
              <w:t>Krankenhaushygiene: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1B3A" w:rsidRPr="004879F6" w:rsidTr="00BE4DBF">
        <w:tc>
          <w:tcPr>
            <w:tcW w:w="81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Erstellung und Aktualisierung eines allgemeinen Hygieneplans, z.B. Dialyse, Laborbereich – Desinfektionsplan und Ablaufpläne hygienisch relevanter Handlungen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1B3A" w:rsidRPr="004879F6" w:rsidTr="00BE4DBF">
        <w:tc>
          <w:tcPr>
            <w:tcW w:w="81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Infektionserfassung (Surveillance)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1B3A" w:rsidRPr="004879F6" w:rsidTr="00BE4DBF">
        <w:tc>
          <w:tcPr>
            <w:tcW w:w="81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epidemiologische Erfassung von und Intervention bei nosokomialen Infektionen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1B3A" w:rsidRPr="004879F6" w:rsidTr="00BE4DBF">
        <w:tc>
          <w:tcPr>
            <w:tcW w:w="81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Ausbruchsabklärung und Ausbruchsmanagement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1B3A" w:rsidRPr="004879F6" w:rsidTr="00BE4DBF">
        <w:tc>
          <w:tcPr>
            <w:tcW w:w="81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mikrobiologische Umgebungsuntersuchungen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1B3A" w:rsidRPr="004879F6" w:rsidTr="00BE4DBF">
        <w:tc>
          <w:tcPr>
            <w:tcW w:w="81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Hygienemaßnahmen im Umgang mit Erkrankten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1B3A" w:rsidRPr="004879F6" w:rsidTr="00BE4DBF">
        <w:tc>
          <w:tcPr>
            <w:tcW w:w="81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hi-IN" w:bidi="hi-IN"/>
              </w:rPr>
              <w:t>Spezifische Prophylaxe, Tropen- und Reisemedizin: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1B3A" w:rsidRPr="004879F6" w:rsidTr="00BE4DBF">
        <w:tc>
          <w:tcPr>
            <w:tcW w:w="81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20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reisemedizinische Beratung (Expositions-, Dispositions-/Immun- und Chemoprophylaxe)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1B3A" w:rsidRPr="004879F6" w:rsidTr="00BE4DBF">
        <w:tc>
          <w:tcPr>
            <w:tcW w:w="81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20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Durchführung von Impfungen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spacing w:after="0"/>
              <w:rPr>
                <w:rFonts w:ascii="Times New Roman" w:hAnsi="Times New Roman" w:cs="Times New Roman"/>
                <w:strike/>
                <w:sz w:val="20"/>
              </w:rPr>
            </w:pPr>
          </w:p>
        </w:tc>
      </w:tr>
      <w:tr w:rsidR="00FF1B3A" w:rsidRPr="004879F6" w:rsidTr="00BE4DBF">
        <w:tc>
          <w:tcPr>
            <w:tcW w:w="81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hi-IN" w:bidi="hi-IN"/>
              </w:rPr>
              <w:t>Meldewesen und Meldepflicht von Infektionskrankheiten bzw. deren Erregern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1B3A" w:rsidRPr="004879F6" w:rsidTr="00BE4DBF">
        <w:tc>
          <w:tcPr>
            <w:tcW w:w="81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Umgang mit biologischen Arbeitsstoffen (Risikoklassen), Labor- und Arbeitssicherheit 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1B3A" w:rsidRPr="004879F6" w:rsidTr="00BE4DBF">
        <w:tc>
          <w:tcPr>
            <w:tcW w:w="81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hi-IN" w:bidi="hi-IN"/>
              </w:rPr>
              <w:t>Infektiologie: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1B3A" w:rsidRPr="004879F6" w:rsidTr="00BE4DBF">
        <w:tc>
          <w:tcPr>
            <w:tcW w:w="81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21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interdisziplinäre  Abklärung bei Infektionsverdacht inkl. klinische Untersuchung sowie fachspezifische Interpretation von Befunden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1B3A" w:rsidRPr="004879F6" w:rsidTr="00BE4DBF">
        <w:tc>
          <w:tcPr>
            <w:tcW w:w="81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21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Prophylaxe von Infektionskrankheiten sowie Mitwirkung bei deren Behandlung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1B3A" w:rsidRPr="004879F6" w:rsidTr="00BE4DBF">
        <w:tc>
          <w:tcPr>
            <w:tcW w:w="81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hi-IN" w:bidi="hi-IN"/>
              </w:rPr>
              <w:t xml:space="preserve">Information und Kommunikation mit Patientinnen und Patienten und Angehörigen über Vorbereitung, Indikation, Durchführung und Risiken von Untersuchungen und Behandlungen 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1B3A" w:rsidRPr="004879F6" w:rsidTr="00BE4DBF">
        <w:tc>
          <w:tcPr>
            <w:tcW w:w="81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hi-IN" w:bidi="hi-IN"/>
              </w:rPr>
              <w:t>Schriftliche Zusammenfassung, Dokumentation und Bewertung von Krankheitsverläufen sowie der sich daraus ergebenden Prognosen (Fähigkeit zur Erstellung von Attesten, Zeugnissen etc.)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F1B3A" w:rsidRPr="004879F6" w:rsidRDefault="00FF1B3A" w:rsidP="00FF1B3A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FF1B3A" w:rsidRPr="004879F6" w:rsidRDefault="00FF1B3A" w:rsidP="00FF1B3A">
      <w:pPr>
        <w:keepNext/>
        <w:spacing w:before="160" w:after="0" w:line="220" w:lineRule="exact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color w:val="000000"/>
          <w:sz w:val="20"/>
          <w:szCs w:val="20"/>
          <w:lang w:val="de-DE"/>
        </w:rPr>
        <w:br w:type="page"/>
      </w:r>
      <w:r w:rsidRPr="004879F6">
        <w:rPr>
          <w:rFonts w:ascii="Times New Roman" w:hAnsi="Times New Roman" w:cs="Times New Roman"/>
          <w:b/>
          <w:sz w:val="20"/>
        </w:rPr>
        <w:lastRenderedPageBreak/>
        <w:t>Sonderfach Schwerpunktausbildung (27 Monate)</w:t>
      </w:r>
    </w:p>
    <w:p w:rsidR="00FF1B3A" w:rsidRPr="004879F6" w:rsidRDefault="00FF1B3A" w:rsidP="00FF1B3A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FF1B3A" w:rsidRPr="004879F6" w:rsidRDefault="00FF1B3A" w:rsidP="00FF1B3A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Klinische Mikrobiologie und Virologie</w:t>
      </w:r>
    </w:p>
    <w:p w:rsidR="00FF1B3A" w:rsidRPr="004879F6" w:rsidRDefault="00FF1B3A" w:rsidP="00FF1B3A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FF1B3A" w:rsidRPr="004879F6" w:rsidRDefault="00FF1B3A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FF1B3A" w:rsidRPr="004879F6" w:rsidRDefault="00FF1B3A" w:rsidP="00FF1B3A">
            <w:pPr>
              <w:numPr>
                <w:ilvl w:val="0"/>
                <w:numId w:val="2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Spezielle biologische Grundlagen, Morphologie, Genetik, Replikation und Taxonomie der humanpathogenen Viren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2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Tropismus und organspezifische Virusinfektionen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2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Übertragung und Pathogenese humanpathogener Viren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2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Angeborene und adaptive Immunabwehr gegen Virusinfektionen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2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Krankheitsspektrum der humanpathogenen Viren einschließlich der Verlaufsformen, Bilder, Komplikationen und Sonderformen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2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Spezielle virologische Diagnostik und Stufendiagnostik einschließlich der Abklärung von Virusinfektionen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2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Spezielle virologische Testverfahren zum Nachweis von Viren, Methoden zum Anzüchten, Anreichern, Differenzieren und Typisieren von Viren einschließlich Zellkulturtechniken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2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Spezifische Prophylaxe von Virusinfektionen, spezifische Immunologie und Vakzinologie 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2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Therapie von Virusinfektionen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2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Methoden und Verfahren der antiviralen Resistenztestung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2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Virusinfektionen in der Schwangerschaft, prä- und perinatale Infektionen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2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Virusinfektionen bei Immundefizienz/-suppression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2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Epidemiologie, Überwachung und Infektionskontrolle von Virusinfektionen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2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Methoden der Virusinaktivierung und Desinfektion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2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Fragen der biologischen Sicherheit bei Virusinfektionen, Biosafety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2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Virologische Anforderungen in der Labororganisation und der Qualitätssicherung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2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Multidisziplinäre Koordination und Kooperation </w:t>
            </w:r>
          </w:p>
        </w:tc>
      </w:tr>
    </w:tbl>
    <w:p w:rsidR="00FF1B3A" w:rsidRPr="004879F6" w:rsidRDefault="00FF1B3A" w:rsidP="00FF1B3A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FF1B3A" w:rsidRPr="004879F6" w:rsidRDefault="00FF1B3A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FF1B3A" w:rsidRPr="004879F6" w:rsidRDefault="00FF1B3A" w:rsidP="00FF1B3A">
            <w:pPr>
              <w:numPr>
                <w:ilvl w:val="3"/>
                <w:numId w:val="2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Spezielle Virusdiagnostik einschließlich moderner/neuer diagnostische Methoden und Testmethoden zur Abklärung seltener und tropischer Virusinfektionen, zum Nachweis von Viren und der Untersuchung der antiviralen Immunantwort, Methoden zur Virusisolierung, -anzucht und Antigen-Nachweis, Differenzierung und Typisierung von Viren einschließlich Zellkulturtechniken 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3"/>
                <w:numId w:val="2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Prophylaxe von Virusinfektionen (spezifische Immunologie und Vakzinologie, Impfwesen)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3"/>
                <w:numId w:val="2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Therapieformen von Virusinfektionen und Resistenzerkennung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3"/>
                <w:numId w:val="2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Epidemiologie, Überwachung und Infektionskontrolle, Referenztätigkeit und Zusammenarbeit mit Gesundheitsbehörden</w:t>
            </w:r>
          </w:p>
        </w:tc>
      </w:tr>
      <w:tr w:rsidR="00FF1B3A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3"/>
                <w:numId w:val="2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Labor- und Qualitätsmanagement </w:t>
            </w:r>
          </w:p>
        </w:tc>
      </w:tr>
    </w:tbl>
    <w:p w:rsidR="00FF1B3A" w:rsidRPr="004879F6" w:rsidRDefault="00FF1B3A" w:rsidP="00FF1B3A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4"/>
        <w:gridCol w:w="1422"/>
      </w:tblGrid>
      <w:tr w:rsidR="00FF1B3A" w:rsidRPr="004879F6" w:rsidTr="00BE4DB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FF1B3A" w:rsidRPr="004879F6" w:rsidRDefault="00FF1B3A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FF1B3A" w:rsidRPr="004879F6" w:rsidTr="00BE4DB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Antigennachweis, Nachweis viraler Nukleinsäuren, Anzucht und Isolierung von Viren, Typisierung von Virusisolaten mittels Zellkulturtechniken, serologischer und/oder molekularbiologischer Methoden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1B3A" w:rsidRPr="004879F6" w:rsidTr="00BE4DB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Serologische Verfahren zum indirekten Nachweis von Virusinfektionen und Verfahren zum Nachweis der zellulären und humoralen antiviralen Immunantwort einschließlich Virusneutralisationstests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1B3A" w:rsidRPr="004879F6" w:rsidTr="00BE4DB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Therapieformen von Virusinfektionen und Resistenzerkennung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1B3A" w:rsidRPr="004879F6" w:rsidTr="00BE4DB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Epidemiologie, Überwachung und Infektionskontrolle (molekulare Typisierung, Bioinformatik/Statistik), Referenztätigkeit und Zusammenarbeit mit Gesundheitsbehörden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1B3A" w:rsidRPr="004879F6" w:rsidTr="00BE4DB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Testentwicklung, Evaluation und Standardisierung von Untersuchungsverfahren, Durchführung von Qualitätskontrollen, Dokumentation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1B3A" w:rsidRPr="004879F6" w:rsidTr="00BE4DB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Testauswahl und Interpretation virologischer Befunde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1B3A" w:rsidRPr="004879F6" w:rsidTr="00BE4DB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Mitwirkung bei Visiten, Information und Kommunikation mit Patientinnen und Patienten betreffend virologische Erkrankungen und bei deren Diagnostik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1B3A" w:rsidRPr="004879F6" w:rsidTr="00BE4DB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FF1B3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Prophylaxe von Virusinfektionen, Durchführung von aktiven und passiven Immunisierungen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F1B3A" w:rsidRPr="004879F6" w:rsidRDefault="00FF1B3A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F1B3A" w:rsidRPr="004879F6" w:rsidRDefault="00FF1B3A" w:rsidP="00FF1B3A">
      <w:pPr>
        <w:spacing w:after="0" w:line="240" w:lineRule="atLeast"/>
        <w:rPr>
          <w:rFonts w:ascii="Times New Roman" w:hAnsi="Times New Roman"/>
          <w:sz w:val="20"/>
        </w:rPr>
      </w:pPr>
    </w:p>
    <w:p w:rsidR="0071468D" w:rsidRDefault="0071468D" w:rsidP="00FF1B3A"/>
    <w:sectPr w:rsidR="0071468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B3A" w:rsidRDefault="00FF1B3A" w:rsidP="00FF1B3A">
      <w:pPr>
        <w:spacing w:after="0" w:line="240" w:lineRule="auto"/>
      </w:pPr>
      <w:r>
        <w:separator/>
      </w:r>
    </w:p>
  </w:endnote>
  <w:endnote w:type="continuationSeparator" w:id="0">
    <w:p w:rsidR="00FF1B3A" w:rsidRDefault="00FF1B3A" w:rsidP="00FF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B3A" w:rsidRPr="00FF1B3A" w:rsidRDefault="00FF1B3A">
    <w:pPr>
      <w:pStyle w:val="Fuzeile"/>
      <w:rPr>
        <w:rFonts w:ascii="Times New Roman" w:hAnsi="Times New Roman" w:cs="Times New Roman"/>
        <w:sz w:val="18"/>
        <w:szCs w:val="18"/>
      </w:rPr>
    </w:pPr>
    <w:r w:rsidRPr="00FF1B3A">
      <w:rPr>
        <w:rFonts w:ascii="Times New Roman" w:hAnsi="Times New Roman" w:cs="Times New Roman"/>
        <w:sz w:val="18"/>
        <w:szCs w:val="18"/>
      </w:rPr>
      <w:t>ÄAO 2015, 3. N</w:t>
    </w:r>
    <w:r w:rsidR="00CA307F">
      <w:rPr>
        <w:rFonts w:ascii="Times New Roman" w:hAnsi="Times New Roman" w:cs="Times New Roman"/>
        <w:sz w:val="18"/>
        <w:szCs w:val="18"/>
      </w:rPr>
      <w:t>ov. KEF u RZ-V 2015, Version 1.3</w:t>
    </w:r>
    <w:r w:rsidR="00B65EDB">
      <w:rPr>
        <w:rFonts w:ascii="Times New Roman" w:hAnsi="Times New Roman" w:cs="Times New Roman"/>
        <w:sz w:val="18"/>
        <w:szCs w:val="18"/>
      </w:rPr>
      <w:t>.</w:t>
    </w:r>
    <w:r w:rsidRPr="00FF1B3A">
      <w:rPr>
        <w:rFonts w:ascii="Times New Roman" w:hAnsi="Times New Roman" w:cs="Times New Roman"/>
        <w:sz w:val="18"/>
        <w:szCs w:val="18"/>
      </w:rPr>
      <w:t xml:space="preserve"> für Ausbildungsbeginn ab 01.01.2020</w:t>
    </w:r>
    <w:r>
      <w:rPr>
        <w:rFonts w:ascii="Times New Roman" w:hAnsi="Times New Roman" w:cs="Times New Roman"/>
        <w:sz w:val="18"/>
        <w:szCs w:val="18"/>
      </w:rPr>
      <w:tab/>
    </w:r>
    <w:r w:rsidRPr="00FF1B3A">
      <w:rPr>
        <w:rFonts w:ascii="Times New Roman" w:hAnsi="Times New Roman" w:cs="Times New Roman"/>
        <w:sz w:val="18"/>
        <w:szCs w:val="18"/>
        <w:lang w:val="de-DE"/>
      </w:rPr>
      <w:t xml:space="preserve">Seite </w:t>
    </w:r>
    <w:r w:rsidRPr="00FF1B3A">
      <w:rPr>
        <w:rFonts w:ascii="Times New Roman" w:hAnsi="Times New Roman" w:cs="Times New Roman"/>
        <w:bCs/>
        <w:sz w:val="18"/>
        <w:szCs w:val="18"/>
      </w:rPr>
      <w:fldChar w:fldCharType="begin"/>
    </w:r>
    <w:r w:rsidRPr="00FF1B3A">
      <w:rPr>
        <w:rFonts w:ascii="Times New Roman" w:hAnsi="Times New Roman" w:cs="Times New Roman"/>
        <w:bCs/>
        <w:sz w:val="18"/>
        <w:szCs w:val="18"/>
      </w:rPr>
      <w:instrText>PAGE  \* Arabic  \* MERGEFORMAT</w:instrText>
    </w:r>
    <w:r w:rsidRPr="00FF1B3A">
      <w:rPr>
        <w:rFonts w:ascii="Times New Roman" w:hAnsi="Times New Roman" w:cs="Times New Roman"/>
        <w:bCs/>
        <w:sz w:val="18"/>
        <w:szCs w:val="18"/>
      </w:rPr>
      <w:fldChar w:fldCharType="separate"/>
    </w:r>
    <w:r w:rsidR="00CA307F" w:rsidRPr="00CA307F">
      <w:rPr>
        <w:rFonts w:ascii="Times New Roman" w:hAnsi="Times New Roman" w:cs="Times New Roman"/>
        <w:bCs/>
        <w:noProof/>
        <w:sz w:val="18"/>
        <w:szCs w:val="18"/>
        <w:lang w:val="de-DE"/>
      </w:rPr>
      <w:t>1</w:t>
    </w:r>
    <w:r w:rsidRPr="00FF1B3A">
      <w:rPr>
        <w:rFonts w:ascii="Times New Roman" w:hAnsi="Times New Roman" w:cs="Times New Roman"/>
        <w:bCs/>
        <w:sz w:val="18"/>
        <w:szCs w:val="18"/>
      </w:rPr>
      <w:fldChar w:fldCharType="end"/>
    </w:r>
    <w:r w:rsidRPr="00FF1B3A">
      <w:rPr>
        <w:rFonts w:ascii="Times New Roman" w:hAnsi="Times New Roman" w:cs="Times New Roman"/>
        <w:sz w:val="18"/>
        <w:szCs w:val="18"/>
        <w:lang w:val="de-DE"/>
      </w:rPr>
      <w:t xml:space="preserve"> von </w:t>
    </w:r>
    <w:r w:rsidRPr="00FF1B3A">
      <w:rPr>
        <w:rFonts w:ascii="Times New Roman" w:hAnsi="Times New Roman" w:cs="Times New Roman"/>
        <w:bCs/>
        <w:sz w:val="18"/>
        <w:szCs w:val="18"/>
      </w:rPr>
      <w:fldChar w:fldCharType="begin"/>
    </w:r>
    <w:r w:rsidRPr="00FF1B3A">
      <w:rPr>
        <w:rFonts w:ascii="Times New Roman" w:hAnsi="Times New Roman" w:cs="Times New Roman"/>
        <w:bCs/>
        <w:sz w:val="18"/>
        <w:szCs w:val="18"/>
      </w:rPr>
      <w:instrText>NUMPAGES  \* Arabic  \* MERGEFORMAT</w:instrText>
    </w:r>
    <w:r w:rsidRPr="00FF1B3A">
      <w:rPr>
        <w:rFonts w:ascii="Times New Roman" w:hAnsi="Times New Roman" w:cs="Times New Roman"/>
        <w:bCs/>
        <w:sz w:val="18"/>
        <w:szCs w:val="18"/>
      </w:rPr>
      <w:fldChar w:fldCharType="separate"/>
    </w:r>
    <w:r w:rsidR="00CA307F" w:rsidRPr="00CA307F">
      <w:rPr>
        <w:rFonts w:ascii="Times New Roman" w:hAnsi="Times New Roman" w:cs="Times New Roman"/>
        <w:bCs/>
        <w:noProof/>
        <w:sz w:val="18"/>
        <w:szCs w:val="18"/>
        <w:lang w:val="de-DE"/>
      </w:rPr>
      <w:t>6</w:t>
    </w:r>
    <w:r w:rsidRPr="00FF1B3A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B3A" w:rsidRDefault="00FF1B3A" w:rsidP="00FF1B3A">
      <w:pPr>
        <w:spacing w:after="0" w:line="240" w:lineRule="auto"/>
      </w:pPr>
      <w:r>
        <w:separator/>
      </w:r>
    </w:p>
  </w:footnote>
  <w:footnote w:type="continuationSeparator" w:id="0">
    <w:p w:rsidR="00FF1B3A" w:rsidRDefault="00FF1B3A" w:rsidP="00FF1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DCC"/>
    <w:multiLevelType w:val="hybridMultilevel"/>
    <w:tmpl w:val="1D524D34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1960C16"/>
    <w:multiLevelType w:val="hybridMultilevel"/>
    <w:tmpl w:val="AB3EFF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408E"/>
    <w:multiLevelType w:val="hybridMultilevel"/>
    <w:tmpl w:val="AC9EB9A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B380D"/>
    <w:multiLevelType w:val="hybridMultilevel"/>
    <w:tmpl w:val="914230D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D6AA7"/>
    <w:multiLevelType w:val="hybridMultilevel"/>
    <w:tmpl w:val="CDEC6D04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1760FF8"/>
    <w:multiLevelType w:val="hybridMultilevel"/>
    <w:tmpl w:val="7C1CB0CC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5A92B77"/>
    <w:multiLevelType w:val="hybridMultilevel"/>
    <w:tmpl w:val="53DA663E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74847B4"/>
    <w:multiLevelType w:val="hybridMultilevel"/>
    <w:tmpl w:val="EFD8BA24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1F246B13"/>
    <w:multiLevelType w:val="hybridMultilevel"/>
    <w:tmpl w:val="266A05F8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6251498"/>
    <w:multiLevelType w:val="hybridMultilevel"/>
    <w:tmpl w:val="6598F6CA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1FD5B7B"/>
    <w:multiLevelType w:val="hybridMultilevel"/>
    <w:tmpl w:val="4D0C39A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05518"/>
    <w:multiLevelType w:val="hybridMultilevel"/>
    <w:tmpl w:val="943AF53C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EB12F73"/>
    <w:multiLevelType w:val="hybridMultilevel"/>
    <w:tmpl w:val="1D3E51A4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4F787BD1"/>
    <w:multiLevelType w:val="hybridMultilevel"/>
    <w:tmpl w:val="AF304700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54B20851"/>
    <w:multiLevelType w:val="hybridMultilevel"/>
    <w:tmpl w:val="95185B1E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55AB37F5"/>
    <w:multiLevelType w:val="hybridMultilevel"/>
    <w:tmpl w:val="ECD0AD52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566F2367"/>
    <w:multiLevelType w:val="hybridMultilevel"/>
    <w:tmpl w:val="AC2236C8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58B97801"/>
    <w:multiLevelType w:val="hybridMultilevel"/>
    <w:tmpl w:val="0AAA6262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CD94220"/>
    <w:multiLevelType w:val="hybridMultilevel"/>
    <w:tmpl w:val="6E3EAEA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1773F"/>
    <w:multiLevelType w:val="hybridMultilevel"/>
    <w:tmpl w:val="15C0CF34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6B9D2AD6"/>
    <w:multiLevelType w:val="hybridMultilevel"/>
    <w:tmpl w:val="F6DCE89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B7142"/>
    <w:multiLevelType w:val="hybridMultilevel"/>
    <w:tmpl w:val="7B4A4170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2"/>
  </w:num>
  <w:num w:numId="4">
    <w:abstractNumId w:val="15"/>
  </w:num>
  <w:num w:numId="5">
    <w:abstractNumId w:val="16"/>
  </w:num>
  <w:num w:numId="6">
    <w:abstractNumId w:val="19"/>
  </w:num>
  <w:num w:numId="7">
    <w:abstractNumId w:val="21"/>
  </w:num>
  <w:num w:numId="8">
    <w:abstractNumId w:val="0"/>
  </w:num>
  <w:num w:numId="9">
    <w:abstractNumId w:val="3"/>
  </w:num>
  <w:num w:numId="10">
    <w:abstractNumId w:val="17"/>
  </w:num>
  <w:num w:numId="11">
    <w:abstractNumId w:val="9"/>
  </w:num>
  <w:num w:numId="12">
    <w:abstractNumId w:val="11"/>
  </w:num>
  <w:num w:numId="13">
    <w:abstractNumId w:val="5"/>
  </w:num>
  <w:num w:numId="14">
    <w:abstractNumId w:val="8"/>
  </w:num>
  <w:num w:numId="15">
    <w:abstractNumId w:val="7"/>
  </w:num>
  <w:num w:numId="16">
    <w:abstractNumId w:val="10"/>
  </w:num>
  <w:num w:numId="17">
    <w:abstractNumId w:val="1"/>
  </w:num>
  <w:num w:numId="18">
    <w:abstractNumId w:val="6"/>
  </w:num>
  <w:num w:numId="19">
    <w:abstractNumId w:val="14"/>
  </w:num>
  <w:num w:numId="20">
    <w:abstractNumId w:val="13"/>
  </w:num>
  <w:num w:numId="21">
    <w:abstractNumId w:val="4"/>
  </w:num>
  <w:num w:numId="22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3A"/>
    <w:rsid w:val="0071468D"/>
    <w:rsid w:val="00B65EDB"/>
    <w:rsid w:val="00CA307F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C1DE"/>
  <w15:chartTrackingRefBased/>
  <w15:docId w15:val="{AB987942-1907-4E61-A7CF-03E0B466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1B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F1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1B3A"/>
  </w:style>
  <w:style w:type="paragraph" w:styleId="Fuzeile">
    <w:name w:val="footer"/>
    <w:basedOn w:val="Standard"/>
    <w:link w:val="FuzeileZchn"/>
    <w:uiPriority w:val="99"/>
    <w:unhideWhenUsed/>
    <w:rsid w:val="00FF1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1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1726</Words>
  <Characters>10878</Characters>
  <Application>Microsoft Office Word</Application>
  <DocSecurity>0</DocSecurity>
  <Lines>90</Lines>
  <Paragraphs>25</Paragraphs>
  <ScaleCrop>false</ScaleCrop>
  <Company/>
  <LinksUpToDate>false</LinksUpToDate>
  <CharactersWithSpaces>12579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Maierhofer Sabine</dc:creator>
  <cp:keywords/>
  <dc:description/>
  <cp:lastModifiedBy>Maierhofer Sabine</cp:lastModifiedBy>
  <cp:revision>3</cp:revision>
  <dcterms:created xsi:type="dcterms:W3CDTF">2020-01-21T10:42:00Z</dcterms:created>
  <dcterms:modified xsi:type="dcterms:W3CDTF">2020-03-30T13:57:00Z</dcterms:modified>
</cp:coreProperties>
</file>