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55" w:rsidRPr="004879F6" w:rsidRDefault="005E7C55" w:rsidP="005E7C55">
      <w:pPr>
        <w:spacing w:after="0" w:line="200" w:lineRule="exact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12.3</w:t>
      </w:r>
    </w:p>
    <w:p w:rsidR="005E7C55" w:rsidRPr="004879F6" w:rsidRDefault="005E7C55" w:rsidP="005E7C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>Ausbildungsinhalte</w:t>
      </w:r>
    </w:p>
    <w:p w:rsidR="005E7C55" w:rsidRPr="004879F6" w:rsidRDefault="005E7C55" w:rsidP="005E7C5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>zum Sonderfach Innere Medizin und Endokrinologie und Diabetologie</w:t>
      </w:r>
    </w:p>
    <w:p w:rsidR="005E7C55" w:rsidRPr="004879F6" w:rsidRDefault="005E7C55" w:rsidP="005E7C5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5E7C55" w:rsidRPr="004879F6" w:rsidRDefault="005E7C55" w:rsidP="005E7C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 xml:space="preserve">Sonderfach Grundausbildung (27 Monate) </w:t>
      </w:r>
    </w:p>
    <w:p w:rsidR="005E7C55" w:rsidRPr="004879F6" w:rsidRDefault="005E7C55" w:rsidP="005E7C5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26"/>
      </w:tblGrid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>Kenntnisse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Psychosoziale, umweltbedingte, arbeitsbedingte und interkulturelle Risiken und Erkrankungen der Inneren Medizin und aller internistischen Teilgebiete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Immunologie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Humangenetik 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Nuklearmedizin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Strahlenschutz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Transplantationsnachsorge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Densitometrie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Interventionelle Techniken und Angiographien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Psychosomatische Medizin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Gesundheitsberatung, Prävention, Vorsorgemedizin, Impfwesen und gesundheitliche Aufklärung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Labortechnisch gestützte Nachweisverfahren mit visueller oder apparativer Auswertung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Psychogene Symptome, somatopsychische Reaktionen und psychosoziale Zusammenhänge einschließlich der Krisenintervention sowie der Grundzüge der Beratung und Führung Suchtkranker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Einschlägige Rechtsvorschriften für die Ausübung des ärztlichen Berufes, insbesondere betreffend das Sozial-, Fürsorge- und Gesundheitswesen einschließlich entsprechender Institutionenkunde des österreichischen Gesundheitswesens und des Sozialversicherungssystems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Grundlagen der Dokumentation und Arzthaftung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Maßnahmen zur Patientinnen- und Patientensicherheit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Betreuung von Menschen mit besonderen Bedürfnissen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Palliativmedizin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Geriatrie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Gesundheitsökonomische Auswirkungen ärztlichen Handelns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Ethik ärztlichen Handelns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Schmerztherapie</w:t>
            </w:r>
          </w:p>
        </w:tc>
      </w:tr>
    </w:tbl>
    <w:p w:rsidR="005E7C55" w:rsidRDefault="005E7C55" w:rsidP="005E7C5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p w:rsidR="005E7C55" w:rsidRDefault="005E7C55">
      <w:pP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  <w:br w:type="page"/>
      </w:r>
    </w:p>
    <w:p w:rsidR="005E7C55" w:rsidRPr="004879F6" w:rsidRDefault="005E7C55" w:rsidP="005E7C5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26"/>
      </w:tblGrid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>Erfahrungen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Innere Medizin mit besonderer Berücksichtigung von Ätiologie, Symptomatologie, </w:t>
            </w: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Anamneseerhebung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 und </w:t>
            </w: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Exploration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, Diagnostik und Differentialdiagnostik innerer Erkrankungen sowie Anatomie, Physiologie, Pathologie, Pathophysiologie, Pharmakologie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Grundlegenden</w:t>
            </w: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 Erfahrungen in den Kernfächern:</w:t>
            </w:r>
          </w:p>
          <w:p w:rsidR="005E7C55" w:rsidRPr="004879F6" w:rsidRDefault="005E7C55" w:rsidP="005E7C5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Angiologie</w:t>
            </w:r>
          </w:p>
          <w:p w:rsidR="005E7C55" w:rsidRPr="004879F6" w:rsidRDefault="005E7C55" w:rsidP="005E7C5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Endokrinologie, Diabetologie und Stoffwechselerkrankungen inkl. Durchführung und Dokumentation von Diabetikerinnen- und Diabetikerbehandlungen</w:t>
            </w:r>
          </w:p>
          <w:p w:rsidR="005E7C55" w:rsidRPr="004879F6" w:rsidRDefault="005E7C55" w:rsidP="005E7C5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Gastroenterologie und Hepatologie</w:t>
            </w:r>
          </w:p>
          <w:p w:rsidR="005E7C55" w:rsidRPr="004879F6" w:rsidRDefault="005E7C55" w:rsidP="005E7C5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Hämatologie – internistische Onkologie </w:t>
            </w:r>
          </w:p>
          <w:p w:rsidR="005E7C55" w:rsidRPr="004879F6" w:rsidRDefault="005E7C55" w:rsidP="005E7C5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Infektiologie</w:t>
            </w:r>
          </w:p>
          <w:p w:rsidR="005E7C55" w:rsidRPr="004879F6" w:rsidRDefault="005E7C55" w:rsidP="005E7C5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Intensivmedizin</w:t>
            </w:r>
          </w:p>
          <w:p w:rsidR="005E7C55" w:rsidRPr="004879F6" w:rsidRDefault="005E7C55" w:rsidP="005E7C5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Kardiologie</w:t>
            </w:r>
          </w:p>
          <w:p w:rsidR="005E7C55" w:rsidRPr="004879F6" w:rsidRDefault="005E7C55" w:rsidP="005E7C5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Nephrologie</w:t>
            </w:r>
          </w:p>
          <w:p w:rsidR="005E7C55" w:rsidRPr="004879F6" w:rsidRDefault="005E7C55" w:rsidP="005E7C5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Pneumologie</w:t>
            </w:r>
          </w:p>
          <w:p w:rsidR="005E7C55" w:rsidRPr="004879F6" w:rsidRDefault="005E7C55" w:rsidP="005E7C5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Rheumatologie 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Klinische Pharmakologie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Geriatrie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Palliativmedizin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psychosomatische Medizin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Internistisch präoperative Beurteilung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Grundlagen hereditärer Krankheitsbilder einschließlich der Indikationsstellung für eine humangenetische Beratung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Suchterkrankungen und deren interdisziplinäre Betreuung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Gesundheitsberatung, Prävention, fachspezifische Vorsorgemedizin, Impfwesen und gesundheitliche Aufklärung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Ernährungsbedingte Gesundheitsstörungen einschließlich diätetischer Beratung sowie Beratung und Schulung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Erkennung und Behandlung akuter Notfälle einschließlich lebensrettender Maßnahmen zur Aufrechterhaltung von Vitalfunktionen und Wiederbelebung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Qualitätssicherung und Dokumentation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Interdisziplinäre Zusammenarbeit bei multimorbiden Patientinnen und Patienten mit inneren Erkrankungen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Radiologinnen und Radiologen und Nuklearmedizinerinnen und Nuklearmedizinern erhobenen Bilder und Befunde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Interdisziplinäre Indikationsstellung zu chirurgischen, strahlentherapeutischen und nuklearmedizinischen Maßnahmen</w:t>
            </w:r>
          </w:p>
        </w:tc>
      </w:tr>
    </w:tbl>
    <w:p w:rsidR="005E7C55" w:rsidRDefault="005E7C55" w:rsidP="005E7C55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p w:rsidR="005E7C55" w:rsidRDefault="005E7C55">
      <w:pPr>
        <w:rPr>
          <w:rFonts w:ascii="Times New Roman" w:hAnsi="Times New Roman" w:cs="Times New Roman"/>
          <w:snapToGrid w:val="0"/>
          <w:color w:val="000000"/>
          <w:sz w:val="20"/>
          <w:szCs w:val="20"/>
          <w:lang w:eastAsia="de-DE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  <w:lang w:eastAsia="de-DE"/>
        </w:rPr>
        <w:br w:type="page"/>
      </w:r>
    </w:p>
    <w:p w:rsidR="005E7C55" w:rsidRPr="004879F6" w:rsidRDefault="005E7C55" w:rsidP="005E7C55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23"/>
        <w:gridCol w:w="1403"/>
      </w:tblGrid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br w:type="page"/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Richtzahl</w:t>
            </w: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Behandlung </w:t>
            </w: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von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Patientinnen und Patienten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 mit internistischen Erkrankungen mit besonderer Berücksichtigung von Ätiologie, Symptomatologie, Anamneseerhebung und Exploration, Diagnostik und Differenzialdiagnostik innerer Erkrankungen, sowie von Anatomie, Physiologie, Pathologie, Pathophysiologie, Pharmakologie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Grundlegenden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Fertigkeiten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 in den Kernfächern:</w:t>
            </w:r>
          </w:p>
          <w:p w:rsidR="005E7C55" w:rsidRPr="004879F6" w:rsidRDefault="005E7C55" w:rsidP="005E7C5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Angiologie</w:t>
            </w:r>
          </w:p>
          <w:p w:rsidR="005E7C55" w:rsidRPr="004879F6" w:rsidRDefault="005E7C55" w:rsidP="005E7C5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Endokrinologie, Diabetologie und Stoffwechselerkrankungen, inkl. Durchführung und Dokumentation von Diabetikerinnen- und Diabetikerbehandlungen</w:t>
            </w:r>
          </w:p>
          <w:p w:rsidR="005E7C55" w:rsidRPr="004879F6" w:rsidRDefault="005E7C55" w:rsidP="005E7C5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Gastroenterologie und Hepatologie</w:t>
            </w:r>
          </w:p>
          <w:p w:rsidR="005E7C55" w:rsidRPr="004879F6" w:rsidRDefault="005E7C55" w:rsidP="005E7C5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Hämatologie – internistische Onkologie </w:t>
            </w:r>
          </w:p>
          <w:p w:rsidR="005E7C55" w:rsidRPr="004879F6" w:rsidRDefault="005E7C55" w:rsidP="005E7C5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Infektiologie </w:t>
            </w:r>
          </w:p>
          <w:p w:rsidR="005E7C55" w:rsidRPr="004879F6" w:rsidRDefault="005E7C55" w:rsidP="005E7C5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Intensivmedizin</w:t>
            </w:r>
          </w:p>
          <w:p w:rsidR="005E7C55" w:rsidRPr="004879F6" w:rsidRDefault="005E7C55" w:rsidP="005E7C5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Kardiologie</w:t>
            </w:r>
          </w:p>
          <w:p w:rsidR="005E7C55" w:rsidRPr="004879F6" w:rsidRDefault="005E7C55" w:rsidP="005E7C5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Nephrologie</w:t>
            </w:r>
          </w:p>
          <w:p w:rsidR="005E7C55" w:rsidRPr="004879F6" w:rsidRDefault="005E7C55" w:rsidP="005E7C5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Pneumologie</w:t>
            </w:r>
          </w:p>
          <w:p w:rsidR="005E7C55" w:rsidRPr="004879F6" w:rsidRDefault="005E7C55" w:rsidP="005E7C5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Rheumatologie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Klinische Pharmakologie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Geriatrie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Palliativmedizin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psychosomatische Medizin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Schmerztherapie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Laboruntersuchungen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Internistisch präoperative Beurteilung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Gesundheitsberatung, Prävention, fachspezifische Vorsorgemedizin, Impfwesen und gesundheitliche Aufklärung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Erkennung und Behandlung akuter Notfälle einschließlich lebensrettender Maßnahmen zur Aufrechterhaltung von Vitalfunktionen und Wiederbelebung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Interdisziplinäre Zusammenarbeit bei multimorbiden Patientinnen und Patienten mit inneren Erkrankungen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Radiologinnen und Radiologen und Nuklearmedizinerinnen und Nuklearmedizinern erhobenen Bilder und Befunde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Interdisziplinäre Indikationsstellung zu chirurgischen, strahlentherapeutischen und nuklearmedizinischen Maßnahmen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EKG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150</w:t>
            </w: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LZ-RR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Abdomensonographie einschl. Nieren-Retroperitoneum und Urogenitalorgane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150</w:t>
            </w: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lastRenderedPageBreak/>
              <w:t>Therapie vital bedrohlicher Zustände, Aufrechterhaltung und Wiederherstellung inkl. Notfall und Intensivmedizin, Beatmung, Entwöhnung, nicht-invasive Beatmungstechniken, hämodynamisches Monitoring, Schockbehandlung, zentrale Zugänge, Defibrillation, PM-Behandlung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50</w:t>
            </w: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Echokardiographie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30</w:t>
            </w: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Spirometrie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Ergometrie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Infusions-, Transfusions- und Blutersatztherapie, enterale und parenterale Ernährung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50</w:t>
            </w:r>
          </w:p>
        </w:tc>
      </w:tr>
      <w:tr w:rsidR="005E7C55" w:rsidRPr="004879F6" w:rsidTr="00AF5AEF">
        <w:tc>
          <w:tcPr>
            <w:tcW w:w="8123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Durchführung von Punktionen oder Stanzen von z.B. Blase, Pleura, Bauchhöhle, Liquor, Leber oder Knochenmark</w:t>
            </w:r>
          </w:p>
        </w:tc>
        <w:tc>
          <w:tcPr>
            <w:tcW w:w="1403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30</w:t>
            </w:r>
          </w:p>
        </w:tc>
      </w:tr>
    </w:tbl>
    <w:p w:rsidR="005E7C55" w:rsidRPr="004879F6" w:rsidRDefault="005E7C55" w:rsidP="005E7C5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  <w:br w:type="page"/>
      </w: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lastRenderedPageBreak/>
        <w:t>Sonderfach Schwerpunktausbildung (36 Monate)</w:t>
      </w:r>
    </w:p>
    <w:p w:rsidR="005E7C55" w:rsidRPr="004879F6" w:rsidRDefault="005E7C55" w:rsidP="005E7C5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26"/>
      </w:tblGrid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>Kenntnisse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Pathophysiologie, Klinik, Diagnostik, Indikationsstellung und Durchführung von Therapien von endokrinologischen und diabetologischen Krankheiten des Erwachsenen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Erkrankungen der Schilddrüse inkl. Interpretation von SD-Laborbefunden und Medikation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Erkrankungen der Nebenschilddrüse inkl. Hypoparathyreoidsmus, Pseudohypoparathyreoidismus und sekundärer Hyperparathyreoidismus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Diabetes mellitus Typ 1, Typ 2, sekundäre Diabetesformen, genetische Diabetesformen, Gestationsdiabetes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Klinische Ernährung 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Präooperative Evaluation und postoperative Betreuung bei bariatrischer Chirurgie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Hyper- und Dyslipidämien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Indikation und Interpretation folgender Untersuchungen:</w:t>
            </w:r>
          </w:p>
          <w:p w:rsidR="005E7C55" w:rsidRPr="004879F6" w:rsidRDefault="005E7C55" w:rsidP="005E7C55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kontinuierliche Blutdruckmessung</w:t>
            </w:r>
          </w:p>
          <w:p w:rsidR="005E7C55" w:rsidRPr="004879F6" w:rsidRDefault="005E7C55" w:rsidP="005E7C55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kontinuierliche Blutglukosemessung</w:t>
            </w:r>
          </w:p>
          <w:p w:rsidR="005E7C55" w:rsidRPr="004879F6" w:rsidRDefault="005E7C55" w:rsidP="005E7C55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arterieller Gefäßstatus (mittels Doppler inkl. Knöchel-Arm-Index)</w:t>
            </w:r>
          </w:p>
          <w:p w:rsidR="005E7C55" w:rsidRPr="004879F6" w:rsidRDefault="005E7C55" w:rsidP="005E7C55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elektrophysiologische Untersuchung vegetativer Funktionen (z.B. Bestimmung des RR-Intervalls und der Frequenzvariabilität)</w:t>
            </w:r>
          </w:p>
          <w:p w:rsidR="005E7C55" w:rsidRPr="004879F6" w:rsidRDefault="005E7C55" w:rsidP="005E7C55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de-DE" w:eastAsia="de-DE"/>
              </w:rPr>
              <w:t>Screening auf periphere Neuropathie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von Hypophysen-/Hypothalamuserkrankungen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Erkrankungen der Nebenniere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neuroendokriner Tumore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Abklärung und Therapie der Hyper- und Hyponatriämie, Hyper- und Hypokaliämie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Abklärung und Therapie der Hyper- und Hypokalziämie, Hypomagnesiämie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Hyper- und Hypophosphatämie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Klinik und Genetik der vererbten (polyglandulären) Endokrinopathien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Indikation, Interpretation und Umgang mit genetischen Untersuchungen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Erkrankungen der Gonaden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Osteoporose und weitere Krankheiten des Knochenstoffwechsels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In-vivo-Untersuchungen endokriner Organe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In-vivo-Untersuchungen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Radiologische und nuklearmedizinische Diagnostik bei endokrinen und neuroendokrinen Tumoren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Onkologische, interventionelle, nuklearmedizinische und chirurgische Therapie endokriner und neuroendokriner Tumore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Anwendung von Hormonen und endokrin bzw. metabolisch wirksamen Arzneimitteln unter Berücksichtigung der Interaktionen und des therapeutischen Nutzens (Kosten-Nutzen-Relation)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Notfallsituationen in den Gebieten Diabetologie, Endokrinologie und Stoffwechsel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Psychische und psychosoziale Implikationen bei endokrinen Störungen</w:t>
            </w:r>
          </w:p>
        </w:tc>
      </w:tr>
      <w:tr w:rsidR="005E7C55" w:rsidRPr="004879F6" w:rsidTr="00AF5AEF">
        <w:tc>
          <w:tcPr>
            <w:tcW w:w="935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Endokrinologische Funktionstests</w:t>
            </w:r>
          </w:p>
        </w:tc>
      </w:tr>
    </w:tbl>
    <w:p w:rsidR="005E7C55" w:rsidRDefault="005E7C55" w:rsidP="005E7C55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p w:rsidR="005E7C55" w:rsidRDefault="005E7C55" w:rsidP="005E7C55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0"/>
          <w:szCs w:val="20"/>
          <w:lang w:eastAsia="de-DE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  <w:lang w:eastAsia="de-DE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26"/>
      </w:tblGrid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lastRenderedPageBreak/>
              <w:br w:type="page"/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>Erfahrungen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Interpretation von SD-Laborbefunden und Einfluss von Erkrankungen und Medikamenten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Hyper- und Hypothyreosen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knotiger und diffuser Erkrankungen der Schilddrüse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Schilddrüsenkarzinome inkl. medulläres Schilddrüsenkarzinom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Thyreoiditisformen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Schilddrüsenerkrankungen in der Schwangerschaft und bei Kinderwunsch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Management vor und nach SD-Operation und/oder Radiojodtherapie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Erkrankungen der Nebenschilddrüse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Betreuung von Diabetes-Patientinnen und -Patienten</w:t>
            </w:r>
          </w:p>
          <w:p w:rsidR="005E7C55" w:rsidRPr="004879F6" w:rsidRDefault="005E7C55" w:rsidP="005E7C5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Diabetes mellitus Typ 1 </w:t>
            </w:r>
          </w:p>
          <w:p w:rsidR="005E7C55" w:rsidRPr="004879F6" w:rsidRDefault="005E7C55" w:rsidP="005E7C5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Diabetes mellitus Typ 2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des Diabetes in der Schwangerschaft/Gestationsdiabetes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von Komplikationen des Diabetes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Therapie von Patientinnen und Patienten mit diabetischem Fußsyndrom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Schulung von Diabetes-Patientinnen und -Patienten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Handhabung spezieller Probleme der Insulintherapie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Insulin-Pumpen-Therapie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Hypoglykämie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diabetischer Notfälle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Klinische Ernährung, Beurteilung des Nährstoffbedarfs beim Gesunden und bei Erkrankungen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Präventive und therapeutische Ernährungsmaßnahmen inkl. Fettstoffwechselstörungen sowie Prävention von Diabetes, Adipositas, Atherosklerose und bestimmten Tumorleiden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Erkennung und Behandlung der wichtigsten Nährstoffmängel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Adipositas-Evaluation und Therapieoptionen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Präoperative Evaluation und postoperative Betreuung bei bariatrischer Chirurgie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Hyper- und Dyslipidämien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Indikationsstellung, Durchführung und Interpretation folgender Untersuchungen:</w:t>
            </w:r>
          </w:p>
          <w:p w:rsidR="005E7C55" w:rsidRPr="004879F6" w:rsidRDefault="005E7C55" w:rsidP="005E7C5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kontinuierliche Blutdruckmessung</w:t>
            </w:r>
          </w:p>
          <w:p w:rsidR="005E7C55" w:rsidRPr="004879F6" w:rsidRDefault="005E7C55" w:rsidP="005E7C5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kontinuierliche Blutglukosemessung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von Hypophysenadenomen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Hyperprolaktinämie und des Prolaktinoms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Akromegalie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des Morbus Cushing und DD des ACTH-abhängigen Cushing Syndroms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von Funktionsstörungen der Hypophyse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Nebennieren-Insuffizienz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des Adrenogenitalen Syndroms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von Tumoren von Nebennierenrinde und -mark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von adrenalem Cushing-Syndrom, Phäochromozytom und Hyperaldosteronismus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von Inzidentalomen der Hypophyse und der Nebenniere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Abklärung auf sekundäre Hypertonien: Indikation und Durchführung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lastRenderedPageBreak/>
              <w:t>Diagnostik und Therapie der Hyper- und Hyponatriämie, Hyper- und Hypokaliämie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Hyper- und Hypokalziämie, der Hypomagnesiämie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Hyper- und Hypophosphatämie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des Hypogonadismus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Osteoporose und weiterer Krankheiten des Knochenstoffwechsels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Osteodensitometrie: Indikation und Interpretation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Qualitätssicherung, Prä- und Postanalytik von Hormonbestimmungen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Indikation, Interpretation und Umgang mit genetischen Untersuchungen</w:t>
            </w:r>
          </w:p>
        </w:tc>
      </w:tr>
      <w:tr w:rsidR="005E7C55" w:rsidRPr="004879F6" w:rsidTr="00AF5AEF">
        <w:tc>
          <w:tcPr>
            <w:tcW w:w="9526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Endokrinologische Funktionstests</w:t>
            </w:r>
          </w:p>
        </w:tc>
      </w:tr>
    </w:tbl>
    <w:p w:rsidR="005E7C55" w:rsidRPr="004879F6" w:rsidRDefault="005E7C55" w:rsidP="005E7C55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04"/>
        <w:gridCol w:w="1422"/>
      </w:tblGrid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AF5AEF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 xml:space="preserve">Fertigkeiten 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Richtzahl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Betreuung von Patientinnen und Patienten mit Diabetes mellitus Typ 2, sekundären Diabetesformen oder genetischen Diabetesformen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Betreuung von Diabetes-Patientinnen und -Patienten mit Diabetes mellitus Typ 1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des Diabetes in der Schwangerschaft/Gestationsdiabetes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Schilddrüsensonographie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Allfällig US-gezielte Feinnadelpunktion der Schilddrüse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Betreuung von Patientinnen und Patienten mit diabetischem Fußsyndrom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Diagnostik und Therapie der Hyper- und Dyslipidämien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Abklärung und Therapieplanung von Patientinnen und Patienten mit Adipositas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Differentialdiagnostische Abklärung und eventuell Therapieplanung von Patientinnen und Patienten mit Nebennierenraumforderungen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Differentialdiagnostische Abklärung und Therapie von Patientinnen und Patienten mit einem Hyperparathyreoidismus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Durchführung von endokrinologischen Funktionstests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100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Differentialdiagnostische Abklärung und Therapie von Patientinnen und Patienten mit mittelgradiger und schwerer Hyponatriämie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Mitarbeit bei der interdisziplinären Abklärung und Therapie endokriner oder neuroendokriner Tumore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Abklärung von Patientinnen und Patienten auf sekundäre (endokrine) Hypertonie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5E7C55" w:rsidRPr="004879F6" w:rsidTr="00AF5AEF">
        <w:tc>
          <w:tcPr>
            <w:tcW w:w="8081" w:type="dxa"/>
            <w:shd w:val="clear" w:color="auto" w:fill="auto"/>
          </w:tcPr>
          <w:p w:rsidR="005E7C55" w:rsidRPr="004879F6" w:rsidRDefault="005E7C55" w:rsidP="005E7C5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Differentialdiagnostische Abklärung und Therapie von Patientinnen und Patienten mit Osteoporose und anderen Knochenstoffwechselstörungen</w:t>
            </w:r>
          </w:p>
        </w:tc>
        <w:tc>
          <w:tcPr>
            <w:tcW w:w="1418" w:type="dxa"/>
            <w:shd w:val="clear" w:color="auto" w:fill="auto"/>
          </w:tcPr>
          <w:p w:rsidR="005E7C55" w:rsidRPr="004879F6" w:rsidRDefault="005E7C55" w:rsidP="00AF5AE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</w:tbl>
    <w:p w:rsidR="005E7C55" w:rsidRPr="004879F6" w:rsidRDefault="005E7C55" w:rsidP="005E7C5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p w:rsidR="0091326B" w:rsidRDefault="0091326B"/>
    <w:sectPr w:rsidR="00913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55" w:rsidRDefault="005E7C55" w:rsidP="005E7C55">
      <w:pPr>
        <w:spacing w:after="0" w:line="240" w:lineRule="auto"/>
      </w:pPr>
      <w:r>
        <w:separator/>
      </w:r>
    </w:p>
  </w:endnote>
  <w:endnote w:type="continuationSeparator" w:id="0">
    <w:p w:rsidR="005E7C55" w:rsidRDefault="005E7C55" w:rsidP="005E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DA" w:rsidRDefault="009B4F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55" w:rsidRPr="005E7C55" w:rsidRDefault="0074561E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ÄAO 2015, 3. Nov. KEF u RZ-V </w:t>
    </w:r>
    <w:r w:rsidR="005E7C55" w:rsidRPr="005E7C55">
      <w:rPr>
        <w:rFonts w:ascii="Times New Roman" w:hAnsi="Times New Roman" w:cs="Times New Roman"/>
        <w:sz w:val="18"/>
        <w:szCs w:val="18"/>
      </w:rPr>
      <w:t xml:space="preserve">2015, </w:t>
    </w:r>
    <w:r>
      <w:rPr>
        <w:rFonts w:ascii="Times New Roman" w:hAnsi="Times New Roman" w:cs="Times New Roman"/>
        <w:sz w:val="18"/>
        <w:szCs w:val="18"/>
      </w:rPr>
      <w:t>Version 1.</w:t>
    </w:r>
    <w:r w:rsidR="009B4FDA">
      <w:rPr>
        <w:rFonts w:ascii="Times New Roman" w:hAnsi="Times New Roman" w:cs="Times New Roman"/>
        <w:sz w:val="18"/>
        <w:szCs w:val="18"/>
      </w:rPr>
      <w:t>3</w:t>
    </w:r>
    <w:bookmarkStart w:id="0" w:name="_GoBack"/>
    <w:bookmarkEnd w:id="0"/>
    <w:r>
      <w:rPr>
        <w:rFonts w:ascii="Times New Roman" w:hAnsi="Times New Roman" w:cs="Times New Roman"/>
        <w:sz w:val="18"/>
        <w:szCs w:val="18"/>
      </w:rPr>
      <w:t xml:space="preserve">. für </w:t>
    </w:r>
    <w:r w:rsidR="005E7C55" w:rsidRPr="005E7C55">
      <w:rPr>
        <w:rFonts w:ascii="Times New Roman" w:hAnsi="Times New Roman" w:cs="Times New Roman"/>
        <w:sz w:val="18"/>
        <w:szCs w:val="18"/>
      </w:rPr>
      <w:t xml:space="preserve">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5E7C55" w:rsidRPr="005E7C55">
      <w:rPr>
        <w:rFonts w:ascii="Times New Roman" w:hAnsi="Times New Roman" w:cs="Times New Roman"/>
        <w:sz w:val="18"/>
        <w:szCs w:val="18"/>
      </w:rPr>
      <w:t>01.01.2020</w:t>
    </w:r>
    <w:r w:rsidR="005E7C55" w:rsidRPr="005E7C55">
      <w:rPr>
        <w:rFonts w:ascii="Times New Roman" w:hAnsi="Times New Roman" w:cs="Times New Roman"/>
        <w:sz w:val="18"/>
        <w:szCs w:val="18"/>
      </w:rPr>
      <w:tab/>
    </w:r>
    <w:r w:rsidR="005E7C55" w:rsidRPr="005E7C55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5E7C55" w:rsidRPr="005E7C55">
      <w:rPr>
        <w:rFonts w:ascii="Times New Roman" w:hAnsi="Times New Roman" w:cs="Times New Roman"/>
        <w:bCs/>
        <w:sz w:val="18"/>
        <w:szCs w:val="18"/>
      </w:rPr>
      <w:fldChar w:fldCharType="begin"/>
    </w:r>
    <w:r w:rsidR="005E7C55" w:rsidRPr="005E7C55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5E7C55" w:rsidRPr="005E7C55">
      <w:rPr>
        <w:rFonts w:ascii="Times New Roman" w:hAnsi="Times New Roman" w:cs="Times New Roman"/>
        <w:bCs/>
        <w:sz w:val="18"/>
        <w:szCs w:val="18"/>
      </w:rPr>
      <w:fldChar w:fldCharType="separate"/>
    </w:r>
    <w:r w:rsidR="009B4FDA" w:rsidRPr="009B4FDA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5E7C55" w:rsidRPr="005E7C55">
      <w:rPr>
        <w:rFonts w:ascii="Times New Roman" w:hAnsi="Times New Roman" w:cs="Times New Roman"/>
        <w:bCs/>
        <w:sz w:val="18"/>
        <w:szCs w:val="18"/>
      </w:rPr>
      <w:fldChar w:fldCharType="end"/>
    </w:r>
    <w:r w:rsidR="005E7C55" w:rsidRPr="005E7C55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5E7C55" w:rsidRPr="005E7C55">
      <w:rPr>
        <w:rFonts w:ascii="Times New Roman" w:hAnsi="Times New Roman" w:cs="Times New Roman"/>
        <w:bCs/>
        <w:sz w:val="18"/>
        <w:szCs w:val="18"/>
      </w:rPr>
      <w:fldChar w:fldCharType="begin"/>
    </w:r>
    <w:r w:rsidR="005E7C55" w:rsidRPr="005E7C55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5E7C55" w:rsidRPr="005E7C55">
      <w:rPr>
        <w:rFonts w:ascii="Times New Roman" w:hAnsi="Times New Roman" w:cs="Times New Roman"/>
        <w:bCs/>
        <w:sz w:val="18"/>
        <w:szCs w:val="18"/>
      </w:rPr>
      <w:fldChar w:fldCharType="separate"/>
    </w:r>
    <w:r w:rsidR="009B4FDA" w:rsidRPr="009B4FDA">
      <w:rPr>
        <w:rFonts w:ascii="Times New Roman" w:hAnsi="Times New Roman" w:cs="Times New Roman"/>
        <w:bCs/>
        <w:noProof/>
        <w:sz w:val="18"/>
        <w:szCs w:val="18"/>
        <w:lang w:val="de-DE"/>
      </w:rPr>
      <w:t>7</w:t>
    </w:r>
    <w:r w:rsidR="005E7C55" w:rsidRPr="005E7C55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DA" w:rsidRDefault="009B4F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55" w:rsidRDefault="005E7C55" w:rsidP="005E7C55">
      <w:pPr>
        <w:spacing w:after="0" w:line="240" w:lineRule="auto"/>
      </w:pPr>
      <w:r>
        <w:separator/>
      </w:r>
    </w:p>
  </w:footnote>
  <w:footnote w:type="continuationSeparator" w:id="0">
    <w:p w:rsidR="005E7C55" w:rsidRDefault="005E7C55" w:rsidP="005E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DA" w:rsidRDefault="009B4F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DA" w:rsidRDefault="009B4FD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DA" w:rsidRDefault="009B4F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246"/>
    <w:multiLevelType w:val="hybridMultilevel"/>
    <w:tmpl w:val="50F2C7BC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6784C0A"/>
    <w:multiLevelType w:val="hybridMultilevel"/>
    <w:tmpl w:val="DC52D9CC"/>
    <w:lvl w:ilvl="0" w:tplc="E4D8D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D87"/>
    <w:multiLevelType w:val="hybridMultilevel"/>
    <w:tmpl w:val="047EB5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459"/>
    <w:multiLevelType w:val="hybridMultilevel"/>
    <w:tmpl w:val="FCF253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6175"/>
    <w:multiLevelType w:val="hybridMultilevel"/>
    <w:tmpl w:val="2B803288"/>
    <w:lvl w:ilvl="0" w:tplc="A4585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7C38"/>
    <w:multiLevelType w:val="hybridMultilevel"/>
    <w:tmpl w:val="61D0EE24"/>
    <w:lvl w:ilvl="0" w:tplc="E3944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5EDE"/>
    <w:multiLevelType w:val="hybridMultilevel"/>
    <w:tmpl w:val="5AA035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7214E"/>
    <w:multiLevelType w:val="hybridMultilevel"/>
    <w:tmpl w:val="B958FDDA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D5C2595"/>
    <w:multiLevelType w:val="hybridMultilevel"/>
    <w:tmpl w:val="ECAAC98A"/>
    <w:lvl w:ilvl="0" w:tplc="0C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55"/>
    <w:rsid w:val="005E7C55"/>
    <w:rsid w:val="0074561E"/>
    <w:rsid w:val="007C6AC0"/>
    <w:rsid w:val="0091326B"/>
    <w:rsid w:val="009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D860"/>
  <w15:chartTrackingRefBased/>
  <w15:docId w15:val="{21393193-61D7-459C-8511-0E5B594C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7C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C55"/>
  </w:style>
  <w:style w:type="paragraph" w:styleId="Fuzeile">
    <w:name w:val="footer"/>
    <w:basedOn w:val="Standard"/>
    <w:link w:val="FuzeileZchn"/>
    <w:uiPriority w:val="99"/>
    <w:unhideWhenUsed/>
    <w:rsid w:val="005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1833</Words>
  <Characters>11552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4</cp:revision>
  <dcterms:created xsi:type="dcterms:W3CDTF">2020-01-21T08:17:00Z</dcterms:created>
  <dcterms:modified xsi:type="dcterms:W3CDTF">2020-03-30T12:21:00Z</dcterms:modified>
</cp:coreProperties>
</file>