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37" w:rsidRPr="004879F6" w:rsidRDefault="008A4737" w:rsidP="008A4737">
      <w:pPr>
        <w:spacing w:after="0" w:line="20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t>Anlage 6.2</w:t>
      </w:r>
    </w:p>
    <w:p w:rsidR="008A4737" w:rsidRPr="004879F6" w:rsidRDefault="008A4737" w:rsidP="008A47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Ausbildungsinhalte</w:t>
      </w:r>
    </w:p>
    <w:p w:rsidR="008A4737" w:rsidRPr="004879F6" w:rsidRDefault="008A4737" w:rsidP="008A473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>zum Sonderfach Allgemeinchirurgie und Gefäßchirurgie</w:t>
      </w:r>
    </w:p>
    <w:p w:rsidR="008A4737" w:rsidRPr="004879F6" w:rsidRDefault="008A4737" w:rsidP="008A473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8A4737" w:rsidRPr="004879F6" w:rsidRDefault="008A4737" w:rsidP="008A4737">
      <w:pPr>
        <w:spacing w:after="0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t xml:space="preserve">Sonderfach Grundausbildung (15 Monate) </w:t>
      </w:r>
    </w:p>
    <w:p w:rsidR="008A4737" w:rsidRPr="004879F6" w:rsidRDefault="008A4737" w:rsidP="008A4737">
      <w:pPr>
        <w:spacing w:after="0"/>
        <w:jc w:val="center"/>
        <w:rPr>
          <w:rFonts w:ascii="Times New Roman" w:hAnsi="Times New Roman" w:cs="Times New Roman"/>
          <w:b/>
          <w:strike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 xml:space="preserve">Kenntnisse 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Ätiologie, Pathophysiologie und Pathogenese von Erkrankungen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Qualitätssicherung und Qualitätsmanagement einschließlich des Fehler- und Risikomanagements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Chirurgische Beratung und Gesprächsführung 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Zusammenarbeit und Grundlagen der multidisziplinären Koordination und Kooperation, insbesondere Orientierung über soziale Einrichtungen, Institutionen und Möglichkeiten der Rehabilitation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Einflüsse von psychosozialen und umweltbedingten Faktoren auf die Gesundheit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Grundlagen der Pharmakotherapie einschließlich der Wechselwirkungen der Arzneimittel 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Gastrointestinale Endoskopie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Psychosomatische Medizin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Betreuung von Menschen mit besonderen Bedürfnissen 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Medizin für Kinder</w:t>
            </w:r>
          </w:p>
        </w:tc>
      </w:tr>
      <w:tr w:rsidR="008A4737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Kenntnisse in Gesundheitsberatung, Prävention, Vorsorgemedizin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Grundlagen der Dokumentation und Arzthaftung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Gesundheitsökonomische Auswirkungen ärztlichen Handelns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Ethik ärztlichen Handelns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Maßnahmen zur Patientinnen- und Patientensicherheit</w:t>
            </w:r>
          </w:p>
        </w:tc>
      </w:tr>
      <w:tr w:rsidR="008A4737" w:rsidRPr="004879F6" w:rsidTr="00267BCC">
        <w:trPr>
          <w:trHeight w:val="279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Palliativmedizin</w:t>
            </w:r>
          </w:p>
        </w:tc>
      </w:tr>
      <w:tr w:rsidR="008A4737" w:rsidRPr="004879F6" w:rsidTr="00267BCC">
        <w:trPr>
          <w:trHeight w:val="259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Geriatrie</w:t>
            </w:r>
          </w:p>
        </w:tc>
      </w:tr>
      <w:tr w:rsidR="008A4737" w:rsidRPr="004879F6" w:rsidTr="00267BCC">
        <w:trPr>
          <w:trHeight w:val="259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Schmerztherapie</w:t>
            </w:r>
          </w:p>
        </w:tc>
      </w:tr>
    </w:tbl>
    <w:p w:rsidR="008A4737" w:rsidRPr="004879F6" w:rsidRDefault="008A4737" w:rsidP="008A473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Erfahrungen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Diagnose, Behandlungen und Nachsorge von chirurgischen Erkrankungen und Verletzungen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 zur konservativen, interventionellen und operativen Behandlung gebietsbezogener Erkrankungen und Verletzungen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Risikoeinschätzung der geplanten chirurgischen Eingriffe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Analgesierungs- und Sedierungsmaßnahmen einschließlich fachspezifische Schmerztherapie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Perioperatives Gerinnungsmanagement inkl. Thromboseprophylaxe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Behandlung von chirurgischen Notfallsituationen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Transfusions- und Blutersatz (Blutkomponenten)-therapie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Enterale und parenterale Ernährung eins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chließlich Sondentechnik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lastRenderedPageBreak/>
              <w:t xml:space="preserve">Betreuung von chirurgischen Patientinnen und Patienten auf einer Intensivstation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Fachspezifische Qualitätssicherung und Dokumentation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Strahlenschutz bei Patientinnen und Patienten und Personal gemäß den geltenden rechtlichen Bestimmungen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 und Überwachung physikalischer Therapiemaßnahmen</w:t>
            </w:r>
          </w:p>
        </w:tc>
      </w:tr>
    </w:tbl>
    <w:p w:rsidR="008A4737" w:rsidRPr="004879F6" w:rsidRDefault="008A4737" w:rsidP="008A473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1512"/>
      </w:tblGrid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Richtzahl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Planung von operativen Interventionen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Prinzipien der Patientinnen- und Patientenlagerung, Desinfektion und Abdeckung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Lokal- oder Regionalanästhesien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Wundversorgung, Wundbehandlung und Verbandslehre, Möglichkeiten der Versorgung von Wundheilungsstörungen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Erkennen und Behandlung von perioperativen Infektionen einschließlich epidemiologischer Grundlagen sowie Hygienemaßnahmen und Impfprophylaxe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Indikationsstellung, sachgerechte Probengewinnung und -behandlung für Laboruntersuchungen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Sonographie bei chirurgischen Erkrankungen und Verletzungen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150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Punktions- und Katheterisierungstechniken einschließlich der Gewinnung von Untersuchungsmaterial (zB Pleura, Ascites)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Infusions-, Transfusions- und Blutersatztherapie, enterale und parenterale Ernährung einschließlich Sondentechnik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4"/>
              </w:numPr>
              <w:spacing w:after="0" w:line="240" w:lineRule="auto"/>
              <w:ind w:left="426" w:hanging="437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Erste Assistenzen bei Operationen und angeleitete Operationen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Durchführung von einfachen Operationen/Interventionen und Teilschritten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100 </w:t>
            </w: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Management von chirurgischen Notfallsituationen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Schmerztherapie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8A4737" w:rsidRPr="004879F6" w:rsidRDefault="008A4737" w:rsidP="008A47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p w:rsidR="008A4737" w:rsidRPr="004879F6" w:rsidRDefault="008A4737" w:rsidP="008A473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  <w:r w:rsidRPr="004879F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  <w:br w:type="page"/>
      </w:r>
      <w:r w:rsidRPr="004879F6"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  <w:lastRenderedPageBreak/>
        <w:t>Sonderfach Schwerpunktausbildung (48 Monate)</w:t>
      </w:r>
    </w:p>
    <w:p w:rsidR="008A4737" w:rsidRPr="004879F6" w:rsidRDefault="008A4737" w:rsidP="008A4737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 xml:space="preserve">Kenntnisse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Epidemiologie, Vorbeugung, Erkennen, Klassifizierung, Behandlung, Nachbehandlung, Rehabilitation von Erkrankungen der Arterien, Venen und Lymphgefäße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Physiologie und Pathophysiologie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Diagnostische Verfahren </w:t>
            </w:r>
          </w:p>
        </w:tc>
      </w:tr>
      <w:tr w:rsidR="008A4737" w:rsidRPr="004879F6" w:rsidTr="00267BCC">
        <w:trPr>
          <w:trHeight w:val="23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Offene Gefäßchirurgie inkl. Nahtmaterial und Gefäßersatz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Endovaskuläre Therapie inkl. Strahlenschutz und Materialkunde</w:t>
            </w:r>
          </w:p>
        </w:tc>
      </w:tr>
      <w:tr w:rsidR="008A4737" w:rsidRPr="004879F6" w:rsidTr="00267BCC">
        <w:trPr>
          <w:trHeight w:val="17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Gefäßnotfälle und Komplikationen nach gefäßchirurgischen Eingriffen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Phlebologie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Lymphologie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Konservative Gefäßmedizin/Perioperative Medizin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Gefäßmalformationen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Septische Gefäßchirurgie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Wundversorgung </w:t>
            </w:r>
          </w:p>
        </w:tc>
      </w:tr>
    </w:tbl>
    <w:p w:rsidR="008A4737" w:rsidRPr="004879F6" w:rsidRDefault="008A4737" w:rsidP="008A473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Erfahrungen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periinterventionelle und perioperative Betreuung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Fachspezifische Interpretation der von Radiologinnen und Radiologen und Nuklearmedizinerinnen und Nuklearmedizinern erhobenen Bilder und Befunde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Offene Gefäßchirurgie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Planung und Durchführung von Endovaskulären Therapien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Konservative, endovaskuläre und operative Behandlung von Gefäßnotfällen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Phlebologie inkl. postthrombotischem Syndrom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Fachspezifische Behandlung von primären und sekundären lymphatischen Ödemen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Interdisziplinäre Konservative Gefäßmedizin/Perioperative Medizin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Abklärung und Therapie von Gefäßmalformationen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Therapie bei primär septischen Gefäßerkrankungen und im Rahmen von Komplikationen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Fachspezifische konservative und operative Wundversorgung 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Strahlenschutz bei Patientinnen und Patienten und Personal gemäß den geltenden rechtlichen Bestimmungen</w:t>
            </w:r>
          </w:p>
        </w:tc>
      </w:tr>
      <w:tr w:rsidR="008A4737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Fachspezifische Schmerztherapie</w:t>
            </w:r>
          </w:p>
        </w:tc>
      </w:tr>
    </w:tbl>
    <w:p w:rsidR="008A4737" w:rsidRPr="004879F6" w:rsidRDefault="008A4737" w:rsidP="008A473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D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tabs>
                <w:tab w:val="left" w:pos="425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DE"/>
              </w:rPr>
              <w:t>Richtzahl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Allfällige interdisziplinäre Indikationsstellung, Entwicklung eines Therapiekonzeptes, Klinische und fachspezifische apparative Diagnostik einschließlich Risiko- und Nutzenabwägung, fachspezifische konservative und operative Therapie bei Gefäßerkrankungen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Doppler-/Duplexsonographische Untersuchungen: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der Extremitäten versorgenden Gefäße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der abdominellen und retroperitonealen Gefäße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der extracraniellen hirnzuführenden Gefäße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ind w:left="70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Operative Behandlung von Gefäßnotfällen: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lastRenderedPageBreak/>
              <w:t>des akuten Verschlusses zentraler Gefäße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des akuten Verschlusses peripherer Gefäße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des rupturierten Aortenaneurysmas (1. Assistenzen und angeleitete Operationen)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der akuten viszeralen Ischämie (1. Assistenzen und angeleitete Operationen)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der akuten schweren Blutung aus zentralen und peripheren Gefäßen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des postischämischen Kompartementsyndroms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9"/>
              </w:numPr>
              <w:spacing w:after="0"/>
              <w:ind w:hanging="719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dialyseshunt-assoziierte akute Gefäßnotfälle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ind w:left="720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Punktions- und Katheterisierungstechniken inkl. zentralvenöse Zugänge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25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Arterielle Angiografien als intraoperative Befundkontrollen inkl. Interpretation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75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Embolektomie/Thrombektomie (+/- Patch)  an Extremitätengefäßen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Venenentnahme für einen Patch oder einen Bypass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Varizenoperation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 xml:space="preserve">Gefäßligatur, Arteriennaht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Minor Amputationen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Allfällige Stentimplantation im Rahmen operativer gefäßchirurgischer Eingriffe und Hybridverfahren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Allfällige Lysetherapie akuter Extremitätenarterienverschlüsse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Implantation von Portsystemen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Durchführung einzelner Operationsschritte bei operativen Eingriffen hoher Schwierigkeitsgrade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Carotisrekonstruktionen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Revaskularisierende brachiale Eingriffe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Revaskularisierende Eingriffe an iliakalen Gefäßen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10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Revaskularisierende supragenuale femorale Eingriffe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25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Revaskularisierende infragenuale/crurale Eingriffe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Revaskularisierende Eingriffe im cruro-pedalen Gefäßabschnitt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Endarterektomie, Patchplastiken, Interponate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Offenchirurgische Anlage und Korrekturen von Dialyse-Shunts und Portsystemen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Operative Prophylaxe/Therapie des Hyperperfusionssyndroms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3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Major Amputationen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Chirurgische Wunddebridements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50</w:t>
            </w:r>
          </w:p>
        </w:tc>
      </w:tr>
      <w:tr w:rsidR="008A473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8A4737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Operative Behandlung des diabetischen Fußes und Ulcus sowie Spalthauttransplantationen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8A4737" w:rsidRPr="004879F6" w:rsidRDefault="008A4737" w:rsidP="00267BC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eastAsia="de-DE"/>
              </w:rPr>
              <w:t>20</w:t>
            </w:r>
          </w:p>
        </w:tc>
      </w:tr>
    </w:tbl>
    <w:p w:rsidR="008A4737" w:rsidRPr="004879F6" w:rsidRDefault="008A4737" w:rsidP="008A4737">
      <w:pPr>
        <w:autoSpaceDE w:val="0"/>
        <w:autoSpaceDN w:val="0"/>
        <w:adjustRightInd w:val="0"/>
        <w:spacing w:before="200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de-DE" w:eastAsia="de-DE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37" w:rsidRDefault="008A4737" w:rsidP="008A4737">
      <w:pPr>
        <w:spacing w:after="0" w:line="240" w:lineRule="auto"/>
      </w:pPr>
      <w:r>
        <w:separator/>
      </w:r>
    </w:p>
  </w:endnote>
  <w:endnote w:type="continuationSeparator" w:id="0">
    <w:p w:rsidR="008A4737" w:rsidRDefault="008A4737" w:rsidP="008A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37" w:rsidRPr="008A4737" w:rsidRDefault="00EC0C02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 2015, Version 1.</w:t>
    </w:r>
    <w:r w:rsidR="006E0485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</w:t>
    </w:r>
    <w:r w:rsidR="008A4737" w:rsidRPr="008A4737">
      <w:rPr>
        <w:rFonts w:ascii="Times New Roman" w:hAnsi="Times New Roman" w:cs="Times New Roman"/>
        <w:sz w:val="18"/>
        <w:szCs w:val="18"/>
      </w:rPr>
      <w:t xml:space="preserve"> Ausbildungsbeginn</w:t>
    </w:r>
    <w:r>
      <w:rPr>
        <w:rFonts w:ascii="Times New Roman" w:hAnsi="Times New Roman" w:cs="Times New Roman"/>
        <w:sz w:val="18"/>
        <w:szCs w:val="18"/>
      </w:rPr>
      <w:t xml:space="preserve"> ab </w:t>
    </w:r>
    <w:r w:rsidR="008A4737" w:rsidRPr="008A4737">
      <w:rPr>
        <w:rFonts w:ascii="Times New Roman" w:hAnsi="Times New Roman" w:cs="Times New Roman"/>
        <w:sz w:val="18"/>
        <w:szCs w:val="18"/>
      </w:rPr>
      <w:t>01.01.2020</w:t>
    </w:r>
    <w:r w:rsidR="008A4737" w:rsidRPr="008A4737">
      <w:rPr>
        <w:rFonts w:ascii="Times New Roman" w:hAnsi="Times New Roman" w:cs="Times New Roman"/>
        <w:sz w:val="18"/>
        <w:szCs w:val="18"/>
      </w:rPr>
      <w:tab/>
    </w:r>
    <w:r w:rsidR="008A4737" w:rsidRPr="008A4737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begin"/>
    </w:r>
    <w:r w:rsidR="008A4737" w:rsidRPr="008A4737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separate"/>
    </w:r>
    <w:r w:rsidR="006E0485" w:rsidRPr="006E0485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end"/>
    </w:r>
    <w:r w:rsidR="008A4737" w:rsidRPr="008A4737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begin"/>
    </w:r>
    <w:r w:rsidR="008A4737" w:rsidRPr="008A4737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separate"/>
    </w:r>
    <w:r w:rsidR="006E0485" w:rsidRPr="006E0485">
      <w:rPr>
        <w:rFonts w:ascii="Times New Roman" w:hAnsi="Times New Roman" w:cs="Times New Roman"/>
        <w:bCs/>
        <w:noProof/>
        <w:sz w:val="18"/>
        <w:szCs w:val="18"/>
        <w:lang w:val="de-DE"/>
      </w:rPr>
      <w:t>4</w:t>
    </w:r>
    <w:r w:rsidR="008A4737" w:rsidRPr="008A4737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37" w:rsidRDefault="008A4737" w:rsidP="008A4737">
      <w:pPr>
        <w:spacing w:after="0" w:line="240" w:lineRule="auto"/>
      </w:pPr>
      <w:r>
        <w:separator/>
      </w:r>
    </w:p>
  </w:footnote>
  <w:footnote w:type="continuationSeparator" w:id="0">
    <w:p w:rsidR="008A4737" w:rsidRDefault="008A4737" w:rsidP="008A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768"/>
    <w:multiLevelType w:val="hybridMultilevel"/>
    <w:tmpl w:val="A09616C4"/>
    <w:lvl w:ilvl="0" w:tplc="3036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902"/>
    <w:multiLevelType w:val="hybridMultilevel"/>
    <w:tmpl w:val="237EF9D8"/>
    <w:lvl w:ilvl="0" w:tplc="863E9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6F6"/>
    <w:multiLevelType w:val="hybridMultilevel"/>
    <w:tmpl w:val="FBE422BE"/>
    <w:lvl w:ilvl="0" w:tplc="8744E42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696D"/>
    <w:multiLevelType w:val="hybridMultilevel"/>
    <w:tmpl w:val="7004E3EE"/>
    <w:lvl w:ilvl="0" w:tplc="701A0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61F1"/>
    <w:multiLevelType w:val="hybridMultilevel"/>
    <w:tmpl w:val="6A8CE4CE"/>
    <w:lvl w:ilvl="0" w:tplc="A4803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4386"/>
    <w:multiLevelType w:val="hybridMultilevel"/>
    <w:tmpl w:val="879A9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2694"/>
    <w:multiLevelType w:val="hybridMultilevel"/>
    <w:tmpl w:val="63B451CC"/>
    <w:lvl w:ilvl="0" w:tplc="D110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5312"/>
    <w:multiLevelType w:val="hybridMultilevel"/>
    <w:tmpl w:val="38CC5F2A"/>
    <w:lvl w:ilvl="0" w:tplc="9E5CA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8F"/>
    <w:multiLevelType w:val="hybridMultilevel"/>
    <w:tmpl w:val="37C008AE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37"/>
    <w:rsid w:val="006E0485"/>
    <w:rsid w:val="007D53C3"/>
    <w:rsid w:val="008A4737"/>
    <w:rsid w:val="00EC0C02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ECBD"/>
  <w15:chartTrackingRefBased/>
  <w15:docId w15:val="{046220A8-E2D4-4FC8-ACD5-C536F196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7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4737"/>
  </w:style>
  <w:style w:type="paragraph" w:styleId="Fuzeile">
    <w:name w:val="footer"/>
    <w:basedOn w:val="Standard"/>
    <w:link w:val="FuzeileZchn"/>
    <w:uiPriority w:val="99"/>
    <w:unhideWhenUsed/>
    <w:rsid w:val="008A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dcterms:created xsi:type="dcterms:W3CDTF">2020-01-20T14:44:00Z</dcterms:created>
  <dcterms:modified xsi:type="dcterms:W3CDTF">2020-03-30T09:42:00Z</dcterms:modified>
</cp:coreProperties>
</file>