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C2" w:rsidRPr="004879F6" w:rsidRDefault="004907C2" w:rsidP="004907C2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Anlage 1.B.1 (DER)</w:t>
      </w:r>
    </w:p>
    <w:p w:rsidR="004907C2" w:rsidRDefault="004907C2" w:rsidP="004907C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4907C2" w:rsidRPr="004879F6" w:rsidRDefault="004907C2" w:rsidP="004907C2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Ausbildungsinhalte Haut- und Geschlechtskrankheiten,</w:t>
      </w:r>
    </w:p>
    <w:p w:rsidR="004907C2" w:rsidRPr="004879F6" w:rsidRDefault="004907C2" w:rsidP="004907C2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wenn kein Wahlfach gewählt wurde</w:t>
      </w:r>
    </w:p>
    <w:p w:rsidR="004907C2" w:rsidRPr="004879F6" w:rsidRDefault="004907C2" w:rsidP="004907C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4907C2" w:rsidRPr="004879F6" w:rsidRDefault="004907C2" w:rsidP="004907C2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4879F6">
        <w:rPr>
          <w:rFonts w:ascii="Times New Roman" w:hAnsi="Times New Roman" w:cs="Times New Roman"/>
          <w:b/>
          <w:sz w:val="20"/>
        </w:rPr>
        <w:t>(Kenntnisse und Erfahrungen können in einem Kurs oder via E-Learning vermittelt werden, Erfahrungen und Fertigkeiten werden in der Lehrpraxis für Allgemeinmedizin erworben)</w:t>
      </w:r>
    </w:p>
    <w:p w:rsidR="004907C2" w:rsidRPr="004879F6" w:rsidRDefault="004907C2" w:rsidP="004907C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Akut- und Notfallmedizin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 xml:space="preserve">Kenntnisse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4"/>
              </w:numPr>
              <w:spacing w:after="0" w:line="240" w:lineRule="auto"/>
              <w:ind w:left="284"/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Erkennen und Vorgehen bei akut lebensbedrohlichen Situationen, </w:t>
            </w:r>
            <w:r w:rsidRPr="004879F6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Sofortmaßnahmen, Erstversorgung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thromboembolischen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Arzneimittelreaktionen der Haut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Verbrennungen, Verätzungen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2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akuten allergischen Reaktionen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4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Koordinierung der Maßnahmen des organisierten Rettungs- und Krankentransportwesens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07C2" w:rsidRPr="002861F2" w:rsidRDefault="004907C2" w:rsidP="004907C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0D0467">
              <w:rPr>
                <w:rFonts w:ascii="Times New Roman" w:hAnsi="Times New Roman" w:cs="Times New Roman"/>
                <w:b/>
                <w:sz w:val="20"/>
              </w:rPr>
              <w:t xml:space="preserve">Erfahrungen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 xml:space="preserve">Erkennen und Vorgehen bei akut lebensbedrohlichen Situationen, </w:t>
            </w:r>
            <w:r w:rsidRPr="000D0467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Sofortmaßnahmen, Erstversorgung bei: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thromboembolischen Erkrankungen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Arzneimittelreaktionen der Haut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Verbrennungen, Verätzungen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rPr>
          <w:trHeight w:val="26"/>
        </w:trPr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akuten allergischen Reaktionen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7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2861F2" w:rsidRDefault="004907C2" w:rsidP="003D7E0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5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0D0467">
              <w:rPr>
                <w:rFonts w:ascii="Times New Roman" w:hAnsi="Times New Roman" w:cs="Times New Roman"/>
                <w:b/>
                <w:sz w:val="20"/>
              </w:rPr>
              <w:t xml:space="preserve">Fertigkeiten 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0467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 xml:space="preserve">Erkennen und Vorgehen bei akut lebensbedrohlichen Situationen, </w:t>
            </w:r>
            <w:r w:rsidRPr="000D0467">
              <w:rPr>
                <w:rFonts w:ascii="Times New Roman" w:eastAsia="Arial" w:hAnsi="Times New Roman" w:cs="Times New Roman"/>
                <w:sz w:val="20"/>
                <w:szCs w:val="20"/>
                <w:lang w:val="de-DE"/>
              </w:rPr>
              <w:t>Sofortmaßnahmen, Erstversorgung bei: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thromboembolischen Erkrankungen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Arzneimittelreaktionen der Haut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Verbrennungen, Verätzungen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akuten allergischen Reaktionen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8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Beratung von Angehörigen und Kommunikation mit Dritten in dringenden Fällen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07C2" w:rsidRPr="000D0467" w:rsidRDefault="004907C2" w:rsidP="004907C2">
      <w:pPr>
        <w:spacing w:after="0" w:line="360" w:lineRule="auto"/>
        <w:rPr>
          <w:rFonts w:ascii="Times New Roman" w:eastAsia="PMingLiU" w:hAnsi="Times New Roman" w:cs="Times New Roman"/>
          <w:sz w:val="20"/>
          <w:szCs w:val="20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2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0D0467">
              <w:rPr>
                <w:rFonts w:ascii="Times New Roman" w:hAnsi="Times New Roman" w:cs="Times New Roman"/>
                <w:b/>
                <w:sz w:val="20"/>
              </w:rPr>
              <w:t>Basismedizin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tabs>
                <w:tab w:val="left" w:pos="425"/>
              </w:tabs>
              <w:spacing w:after="0"/>
              <w:ind w:left="-76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0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0D0467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"/>
              </w:numPr>
              <w:spacing w:after="0" w:line="240" w:lineRule="auto"/>
              <w:ind w:left="284" w:hanging="425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Anamnese, Befunderhebung, Differentialdiagnostik, Therapie häufiger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Kontaktdermatitis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Urticaria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lastRenderedPageBreak/>
              <w:t>Erkrankungen durch physikalische Einflüsse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chronische Wunden inkl. Wundmanagement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diabetischer Fuß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chronisch venöse Insuffizienz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pigmentierte und nichtpigmentierte Hauttumore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häufige Infektionen der Haut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häufige Hauterkrankungen (z.B. Neurodermitis, Psoriasis)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23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Probenentnahme für Erregerbestimmung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 w:line="240" w:lineRule="auto"/>
              <w:ind w:left="-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0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0D0467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1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Anamnese, Befunderhebung, Differentialdiagnostik, Therapie häufiger Erkrankungen: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Kontaktdermatitis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Urticaria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Erkrankungen durch physikalische Einflüsse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chronische Wunden inkl. Wundmanagement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diabetischer Fuß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chronisch venöse Insuffizienz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pigmentierte und nichtpigmentierte Hauttumore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häufige Infektionen der Haut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häufige Hauterkrankungen (z.B. Neurodermitis, Psoriasis)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Probenentnahme für Erregerbestimmung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0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0D0467">
              <w:rPr>
                <w:rFonts w:ascii="Times New Roman" w:hAnsi="Times New Roman" w:cs="Times New Roman"/>
                <w:b/>
                <w:sz w:val="20"/>
              </w:rPr>
              <w:t>Fertigkeiten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D0467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3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Anamnese, Befunderhebung, Differentialdiagnostik, Therapie häufiger Erkrankungen: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Kontaktdermatitis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Urticaria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Erkrankungen durch physikalische Einflüsse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chronische Wunden inkl. Wundmanagement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diabetischer Fuß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chronisch venöse Insuffizienz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pigmentierte und nichtpigmentierte Hauttumore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häufige Infektionen der Haut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0D0467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490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0D0467">
              <w:rPr>
                <w:rFonts w:ascii="Times New Roman" w:hAnsi="Times New Roman" w:cs="Times New Roman"/>
                <w:sz w:val="20"/>
              </w:rPr>
              <w:t>häufige Hauterkrankungen (z.B. Neurodermitis, Psoriasis)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0D0467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Probenentnahme für Erregerbestimmung</w:t>
            </w:r>
          </w:p>
        </w:tc>
        <w:tc>
          <w:tcPr>
            <w:tcW w:w="1444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ind w:left="-141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07C2" w:rsidRDefault="004907C2" w:rsidP="004907C2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p w:rsidR="004907C2" w:rsidRDefault="004907C2">
      <w:pPr>
        <w:rPr>
          <w:rFonts w:ascii="Times New Roman" w:eastAsia="PMingLiU" w:hAnsi="Times New Roman" w:cs="Times New Roman"/>
          <w:sz w:val="28"/>
          <w:szCs w:val="28"/>
          <w:lang w:val="en-US"/>
        </w:rPr>
      </w:pPr>
      <w:r>
        <w:rPr>
          <w:rFonts w:ascii="Times New Roman" w:eastAsia="PMingLiU" w:hAnsi="Times New Roman" w:cs="Times New Roman"/>
          <w:sz w:val="28"/>
          <w:szCs w:val="28"/>
          <w:lang w:val="en-US"/>
        </w:rPr>
        <w:br w:type="page"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1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Fachspezifische Medizin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tabs>
                <w:tab w:val="left" w:pos="425"/>
              </w:tabs>
              <w:spacing w:after="0"/>
              <w:ind w:left="284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1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"/>
              </w:numPr>
              <w:spacing w:after="0" w:line="240" w:lineRule="auto"/>
              <w:ind w:left="284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fachspezifischen Methoden zur Behandlung von Erkrankungen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4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sexuell übertragbare Infektionen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"/>
              </w:numPr>
              <w:spacing w:after="0" w:line="240" w:lineRule="auto"/>
              <w:ind w:left="284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Indikation und Grenzen fachspezifischer diagnostischer Verfahren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Biopsie/Histologie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Allergiediagnostik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immunologische und mikrobiologische Untersuchungen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5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Dermatoskopie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"/>
              </w:numPr>
              <w:spacing w:after="0" w:line="240" w:lineRule="auto"/>
              <w:ind w:left="284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 xml:space="preserve">Indikation und Risiken fachspezifischer Verfahren wie: 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Phototherapie inkl. Laser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Dermatochirurgie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6"/>
              </w:numPr>
              <w:spacing w:after="0" w:line="240" w:lineRule="auto"/>
              <w:ind w:left="709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Dermatoonkologie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9526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15"/>
              </w:numPr>
              <w:tabs>
                <w:tab w:val="left" w:pos="425"/>
              </w:tabs>
              <w:spacing w:after="0" w:line="240" w:lineRule="auto"/>
              <w:ind w:left="284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16"/>
              </w:num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Umgang mit fachspezifischen Methoden zur Behandlung von Erkrankungen wie: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082" w:type="dxa"/>
            <w:tcBorders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sexuell übertragbare Infektionen</w:t>
            </w:r>
          </w:p>
        </w:tc>
        <w:tc>
          <w:tcPr>
            <w:tcW w:w="1444" w:type="dxa"/>
            <w:tcBorders>
              <w:lef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07C2" w:rsidRPr="004879F6" w:rsidRDefault="004907C2" w:rsidP="004907C2">
      <w:pPr>
        <w:spacing w:after="0" w:line="240" w:lineRule="auto"/>
        <w:rPr>
          <w:rFonts w:ascii="Times New Roman" w:eastAsia="PMingLiU" w:hAnsi="Times New Roman" w:cs="Times New Roman"/>
          <w:sz w:val="28"/>
          <w:szCs w:val="28"/>
          <w:lang w:val="en-US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4.</w:t>
            </w:r>
            <w:r w:rsidRPr="004879F6">
              <w:rPr>
                <w:rFonts w:ascii="Times New Roman" w:hAnsi="Times New Roman" w:cs="Times New Roman"/>
                <w:b/>
                <w:sz w:val="20"/>
              </w:rPr>
              <w:tab/>
              <w:t>Geriatrie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18"/>
              </w:numPr>
              <w:tabs>
                <w:tab w:val="left" w:pos="425"/>
              </w:tabs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Kenntnisse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3"/>
              </w:numPr>
              <w:spacing w:after="0" w:line="240" w:lineRule="auto"/>
              <w:ind w:left="425" w:hanging="425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Diagnostik und Behandlung typischer Hauterkrankungen im höheren Alter: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Pruritus und Ekzem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Dermatosen bei Inkontinenz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Dekubitus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Herpes Zoster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Atrophe Haut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7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chronischer UV-Schäden der Haut</w:t>
            </w:r>
          </w:p>
        </w:tc>
      </w:tr>
      <w:tr w:rsidR="004907C2" w:rsidRPr="004879F6" w:rsidTr="003D7E04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ind w:left="7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18"/>
              </w:numPr>
              <w:tabs>
                <w:tab w:val="left" w:pos="425"/>
              </w:tabs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Erfahrungen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19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Diagnostik und Behandlung typischer Hauterkrankungen im höheren Alter: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Pruritus und Ekzem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Dermatosen bei Inkontinenz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Dekubitus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Herpes Zoster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Atrophe Haut</w:t>
            </w:r>
          </w:p>
        </w:tc>
      </w:tr>
      <w:tr w:rsidR="004907C2" w:rsidRPr="004879F6" w:rsidTr="003D7E04">
        <w:tc>
          <w:tcPr>
            <w:tcW w:w="9498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8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chronischer UV-Schäden der Haut</w:t>
            </w:r>
          </w:p>
        </w:tc>
      </w:tr>
    </w:tbl>
    <w:p w:rsidR="00ED1735" w:rsidRDefault="00ED1735" w:rsidP="004907C2"/>
    <w:p w:rsidR="00ED1735" w:rsidRDefault="00ED1735">
      <w:r>
        <w:br w:type="page"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6"/>
        <w:gridCol w:w="1252"/>
      </w:tblGrid>
      <w:tr w:rsidR="004907C2" w:rsidRPr="004879F6" w:rsidTr="003D7E04">
        <w:tc>
          <w:tcPr>
            <w:tcW w:w="82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18"/>
              </w:numPr>
              <w:tabs>
                <w:tab w:val="left" w:pos="425"/>
              </w:tabs>
              <w:spacing w:after="0" w:line="240" w:lineRule="auto"/>
              <w:ind w:left="426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lastRenderedPageBreak/>
              <w:t>Fertigkeiten</w:t>
            </w:r>
          </w:p>
        </w:tc>
        <w:tc>
          <w:tcPr>
            <w:tcW w:w="12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tabs>
                <w:tab w:val="left" w:pos="425"/>
              </w:tabs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4879F6">
              <w:rPr>
                <w:rFonts w:ascii="Times New Roman" w:hAnsi="Times New Roman" w:cs="Times New Roman"/>
                <w:b/>
                <w:sz w:val="20"/>
              </w:rPr>
              <w:t>Richtzahl</w:t>
            </w:r>
          </w:p>
        </w:tc>
      </w:tr>
      <w:tr w:rsidR="004907C2" w:rsidRPr="004879F6" w:rsidTr="003D7E04">
        <w:tc>
          <w:tcPr>
            <w:tcW w:w="82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0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Prävention, Diagnostik und Behandlung typischer Hauterkrankungen im höheren Alter:</w:t>
            </w:r>
          </w:p>
        </w:tc>
        <w:tc>
          <w:tcPr>
            <w:tcW w:w="12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2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Pruritus und Ekzem</w:t>
            </w:r>
          </w:p>
        </w:tc>
        <w:tc>
          <w:tcPr>
            <w:tcW w:w="12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2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Dermatosen bei Inkontinenz</w:t>
            </w:r>
          </w:p>
        </w:tc>
        <w:tc>
          <w:tcPr>
            <w:tcW w:w="12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2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Dekubitus</w:t>
            </w:r>
          </w:p>
        </w:tc>
        <w:tc>
          <w:tcPr>
            <w:tcW w:w="12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2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Herpes Zoster</w:t>
            </w:r>
          </w:p>
        </w:tc>
        <w:tc>
          <w:tcPr>
            <w:tcW w:w="12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2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Atrophe Haut</w:t>
            </w:r>
          </w:p>
        </w:tc>
        <w:tc>
          <w:tcPr>
            <w:tcW w:w="12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07C2" w:rsidRPr="004879F6" w:rsidTr="003D7E04">
        <w:tc>
          <w:tcPr>
            <w:tcW w:w="8246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4907C2">
            <w:pPr>
              <w:numPr>
                <w:ilvl w:val="0"/>
                <w:numId w:val="29"/>
              </w:numPr>
              <w:spacing w:after="0" w:line="240" w:lineRule="auto"/>
              <w:ind w:left="851"/>
              <w:contextualSpacing/>
              <w:rPr>
                <w:rFonts w:ascii="Times New Roman" w:hAnsi="Times New Roman" w:cs="Times New Roman"/>
                <w:sz w:val="20"/>
              </w:rPr>
            </w:pPr>
            <w:r w:rsidRPr="004879F6">
              <w:rPr>
                <w:rFonts w:ascii="Times New Roman" w:hAnsi="Times New Roman" w:cs="Times New Roman"/>
                <w:sz w:val="20"/>
              </w:rPr>
              <w:t>chronischer UV-Schäden der Haut</w:t>
            </w:r>
          </w:p>
        </w:tc>
        <w:tc>
          <w:tcPr>
            <w:tcW w:w="1252" w:type="dxa"/>
            <w:shd w:val="clear" w:color="auto" w:fill="auto"/>
            <w:tcMar>
              <w:top w:w="57" w:type="dxa"/>
              <w:left w:w="284" w:type="dxa"/>
              <w:bottom w:w="57" w:type="dxa"/>
            </w:tcMar>
          </w:tcPr>
          <w:p w:rsidR="004907C2" w:rsidRPr="004879F6" w:rsidRDefault="004907C2" w:rsidP="003D7E04">
            <w:pPr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907C2" w:rsidRPr="004879F6" w:rsidRDefault="004907C2" w:rsidP="004907C2">
      <w:pPr>
        <w:spacing w:after="0" w:line="240" w:lineRule="auto"/>
        <w:rPr>
          <w:rFonts w:ascii="Times New Roman" w:eastAsia="PMingLiU" w:hAnsi="Times New Roman" w:cs="Times New Roman"/>
          <w:sz w:val="20"/>
          <w:szCs w:val="20"/>
        </w:rPr>
      </w:pPr>
    </w:p>
    <w:p w:rsidR="0014424C" w:rsidRDefault="0014424C" w:rsidP="004907C2"/>
    <w:sectPr w:rsidR="00144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0D" w:rsidRDefault="004F440D" w:rsidP="004F440D">
      <w:pPr>
        <w:spacing w:after="0" w:line="240" w:lineRule="auto"/>
      </w:pPr>
      <w:r>
        <w:separator/>
      </w:r>
    </w:p>
  </w:endnote>
  <w:endnote w:type="continuationSeparator" w:id="0">
    <w:p w:rsidR="004F440D" w:rsidRDefault="004F440D" w:rsidP="004F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0D" w:rsidRDefault="004F44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0D" w:rsidRPr="004F440D" w:rsidRDefault="004F440D">
    <w:pPr>
      <w:pStyle w:val="Fuzeile"/>
      <w:rPr>
        <w:rFonts w:ascii="Times New Roman" w:hAnsi="Times New Roman" w:cs="Times New Roman"/>
        <w:sz w:val="18"/>
        <w:szCs w:val="18"/>
      </w:rPr>
    </w:pPr>
    <w:r w:rsidRPr="004F440D">
      <w:rPr>
        <w:rFonts w:ascii="Times New Roman" w:hAnsi="Times New Roman" w:cs="Times New Roman"/>
        <w:sz w:val="18"/>
        <w:szCs w:val="18"/>
      </w:rPr>
      <w:t>ÄAO 2015, 3. Nov. KEF u RZ-V 2015, Version 1.</w:t>
    </w:r>
    <w:r w:rsidR="00404D95">
      <w:rPr>
        <w:rFonts w:ascii="Times New Roman" w:hAnsi="Times New Roman" w:cs="Times New Roman"/>
        <w:sz w:val="18"/>
        <w:szCs w:val="18"/>
      </w:rPr>
      <w:t>3</w:t>
    </w:r>
    <w:bookmarkStart w:id="0" w:name="_GoBack"/>
    <w:bookmarkEnd w:id="0"/>
    <w:r w:rsidRPr="004F440D">
      <w:rPr>
        <w:rFonts w:ascii="Times New Roman" w:hAnsi="Times New Roman" w:cs="Times New Roman"/>
        <w:sz w:val="18"/>
        <w:szCs w:val="18"/>
      </w:rPr>
      <w:t xml:space="preserve">. für Ausbildungsbeginn ab </w:t>
    </w:r>
    <w:r>
      <w:rPr>
        <w:rFonts w:ascii="Times New Roman" w:hAnsi="Times New Roman" w:cs="Times New Roman"/>
        <w:sz w:val="18"/>
        <w:szCs w:val="18"/>
      </w:rPr>
      <w:t>01.01.2020</w:t>
    </w:r>
    <w:r>
      <w:rPr>
        <w:rFonts w:ascii="Times New Roman" w:hAnsi="Times New Roman" w:cs="Times New Roman"/>
        <w:sz w:val="18"/>
        <w:szCs w:val="18"/>
      </w:rPr>
      <w:tab/>
    </w:r>
    <w:r w:rsidRPr="004F440D">
      <w:rPr>
        <w:rFonts w:ascii="Times New Roman" w:hAnsi="Times New Roman" w:cs="Times New Roman"/>
        <w:sz w:val="18"/>
        <w:szCs w:val="18"/>
        <w:lang w:val="de-DE"/>
      </w:rPr>
      <w:t xml:space="preserve">Seite </w:t>
    </w:r>
    <w:r w:rsidRPr="004F440D">
      <w:rPr>
        <w:rFonts w:ascii="Times New Roman" w:hAnsi="Times New Roman" w:cs="Times New Roman"/>
        <w:bCs/>
        <w:sz w:val="18"/>
        <w:szCs w:val="18"/>
      </w:rPr>
      <w:fldChar w:fldCharType="begin"/>
    </w:r>
    <w:r w:rsidRPr="004F440D">
      <w:rPr>
        <w:rFonts w:ascii="Times New Roman" w:hAnsi="Times New Roman" w:cs="Times New Roman"/>
        <w:bCs/>
        <w:sz w:val="18"/>
        <w:szCs w:val="18"/>
      </w:rPr>
      <w:instrText>PAGE  \* Arabic  \* MERGEFORMAT</w:instrText>
    </w:r>
    <w:r w:rsidRPr="004F440D">
      <w:rPr>
        <w:rFonts w:ascii="Times New Roman" w:hAnsi="Times New Roman" w:cs="Times New Roman"/>
        <w:bCs/>
        <w:sz w:val="18"/>
        <w:szCs w:val="18"/>
      </w:rPr>
      <w:fldChar w:fldCharType="separate"/>
    </w:r>
    <w:r w:rsidR="00404D95" w:rsidRPr="00404D95">
      <w:rPr>
        <w:rFonts w:ascii="Times New Roman" w:hAnsi="Times New Roman" w:cs="Times New Roman"/>
        <w:bCs/>
        <w:noProof/>
        <w:sz w:val="18"/>
        <w:szCs w:val="18"/>
        <w:lang w:val="de-DE"/>
      </w:rPr>
      <w:t>1</w:t>
    </w:r>
    <w:r w:rsidRPr="004F440D">
      <w:rPr>
        <w:rFonts w:ascii="Times New Roman" w:hAnsi="Times New Roman" w:cs="Times New Roman"/>
        <w:bCs/>
        <w:sz w:val="18"/>
        <w:szCs w:val="18"/>
      </w:rPr>
      <w:fldChar w:fldCharType="end"/>
    </w:r>
    <w:r w:rsidRPr="004F440D">
      <w:rPr>
        <w:rFonts w:ascii="Times New Roman" w:hAnsi="Times New Roman" w:cs="Times New Roman"/>
        <w:sz w:val="18"/>
        <w:szCs w:val="18"/>
        <w:lang w:val="de-DE"/>
      </w:rPr>
      <w:t xml:space="preserve"> von </w:t>
    </w:r>
    <w:r w:rsidRPr="004F440D">
      <w:rPr>
        <w:rFonts w:ascii="Times New Roman" w:hAnsi="Times New Roman" w:cs="Times New Roman"/>
        <w:bCs/>
        <w:sz w:val="18"/>
        <w:szCs w:val="18"/>
      </w:rPr>
      <w:fldChar w:fldCharType="begin"/>
    </w:r>
    <w:r w:rsidRPr="004F440D">
      <w:rPr>
        <w:rFonts w:ascii="Times New Roman" w:hAnsi="Times New Roman" w:cs="Times New Roman"/>
        <w:bCs/>
        <w:sz w:val="18"/>
        <w:szCs w:val="18"/>
      </w:rPr>
      <w:instrText>NUMPAGES  \* Arabic  \* MERGEFORMAT</w:instrText>
    </w:r>
    <w:r w:rsidRPr="004F440D">
      <w:rPr>
        <w:rFonts w:ascii="Times New Roman" w:hAnsi="Times New Roman" w:cs="Times New Roman"/>
        <w:bCs/>
        <w:sz w:val="18"/>
        <w:szCs w:val="18"/>
      </w:rPr>
      <w:fldChar w:fldCharType="separate"/>
    </w:r>
    <w:r w:rsidR="00404D95" w:rsidRPr="00404D95">
      <w:rPr>
        <w:rFonts w:ascii="Times New Roman" w:hAnsi="Times New Roman" w:cs="Times New Roman"/>
        <w:bCs/>
        <w:noProof/>
        <w:sz w:val="18"/>
        <w:szCs w:val="18"/>
        <w:lang w:val="de-DE"/>
      </w:rPr>
      <w:t>4</w:t>
    </w:r>
    <w:r w:rsidRPr="004F440D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0D" w:rsidRDefault="004F44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0D" w:rsidRDefault="004F440D" w:rsidP="004F440D">
      <w:pPr>
        <w:spacing w:after="0" w:line="240" w:lineRule="auto"/>
      </w:pPr>
      <w:r>
        <w:separator/>
      </w:r>
    </w:p>
  </w:footnote>
  <w:footnote w:type="continuationSeparator" w:id="0">
    <w:p w:rsidR="004F440D" w:rsidRDefault="004F440D" w:rsidP="004F4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0D" w:rsidRDefault="004F44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0D" w:rsidRDefault="004F440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0D" w:rsidRDefault="004F440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B0E"/>
    <w:multiLevelType w:val="hybridMultilevel"/>
    <w:tmpl w:val="53C2948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087278"/>
    <w:multiLevelType w:val="hybridMultilevel"/>
    <w:tmpl w:val="80E41C24"/>
    <w:lvl w:ilvl="0" w:tplc="0DDC2CC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0831A4"/>
    <w:multiLevelType w:val="hybridMultilevel"/>
    <w:tmpl w:val="6A386952"/>
    <w:lvl w:ilvl="0" w:tplc="CFC8ACD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C7E30"/>
    <w:multiLevelType w:val="hybridMultilevel"/>
    <w:tmpl w:val="245E725E"/>
    <w:lvl w:ilvl="0" w:tplc="0C07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2B28"/>
    <w:multiLevelType w:val="hybridMultilevel"/>
    <w:tmpl w:val="F5DEC84A"/>
    <w:lvl w:ilvl="0" w:tplc="5B3A2EB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254C6"/>
    <w:multiLevelType w:val="hybridMultilevel"/>
    <w:tmpl w:val="5EEAD288"/>
    <w:lvl w:ilvl="0" w:tplc="C952D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D693E"/>
    <w:multiLevelType w:val="hybridMultilevel"/>
    <w:tmpl w:val="171AAF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F7EAC"/>
    <w:multiLevelType w:val="hybridMultilevel"/>
    <w:tmpl w:val="AEBE373E"/>
    <w:lvl w:ilvl="0" w:tplc="B3EE65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A649B"/>
    <w:multiLevelType w:val="hybridMultilevel"/>
    <w:tmpl w:val="0A9C48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A71AF"/>
    <w:multiLevelType w:val="hybridMultilevel"/>
    <w:tmpl w:val="5A5AAC8C"/>
    <w:lvl w:ilvl="0" w:tplc="0C07000F">
      <w:start w:val="1"/>
      <w:numFmt w:val="decimal"/>
      <w:lvlText w:val="%1."/>
      <w:lvlJc w:val="left"/>
      <w:pPr>
        <w:ind w:left="785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3B9222EC"/>
    <w:multiLevelType w:val="hybridMultilevel"/>
    <w:tmpl w:val="6150B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3264B"/>
    <w:multiLevelType w:val="hybridMultilevel"/>
    <w:tmpl w:val="9D429EC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5A711A"/>
    <w:multiLevelType w:val="hybridMultilevel"/>
    <w:tmpl w:val="F62220EC"/>
    <w:lvl w:ilvl="0" w:tplc="67F2229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C3212"/>
    <w:multiLevelType w:val="hybridMultilevel"/>
    <w:tmpl w:val="1EE6E80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E03373"/>
    <w:multiLevelType w:val="hybridMultilevel"/>
    <w:tmpl w:val="AB8CBF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97E58"/>
    <w:multiLevelType w:val="hybridMultilevel"/>
    <w:tmpl w:val="7AE8B704"/>
    <w:lvl w:ilvl="0" w:tplc="488C7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54F48"/>
    <w:multiLevelType w:val="hybridMultilevel"/>
    <w:tmpl w:val="FEEAE87E"/>
    <w:lvl w:ilvl="0" w:tplc="B8AAC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B25698"/>
    <w:multiLevelType w:val="hybridMultilevel"/>
    <w:tmpl w:val="08AC1A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F4E34"/>
    <w:multiLevelType w:val="hybridMultilevel"/>
    <w:tmpl w:val="F0E8BA7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83642E"/>
    <w:multiLevelType w:val="hybridMultilevel"/>
    <w:tmpl w:val="F57C2DE0"/>
    <w:lvl w:ilvl="0" w:tplc="638A0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B3CF0"/>
    <w:multiLevelType w:val="hybridMultilevel"/>
    <w:tmpl w:val="032878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DD6933"/>
    <w:multiLevelType w:val="hybridMultilevel"/>
    <w:tmpl w:val="1FB604DC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37469D1"/>
    <w:multiLevelType w:val="hybridMultilevel"/>
    <w:tmpl w:val="8878C50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0B74C5"/>
    <w:multiLevelType w:val="hybridMultilevel"/>
    <w:tmpl w:val="032AE176"/>
    <w:lvl w:ilvl="0" w:tplc="9C4C8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72EDF"/>
    <w:multiLevelType w:val="hybridMultilevel"/>
    <w:tmpl w:val="24B48776"/>
    <w:lvl w:ilvl="0" w:tplc="4CF274E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340D8"/>
    <w:multiLevelType w:val="hybridMultilevel"/>
    <w:tmpl w:val="D42414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94A5A"/>
    <w:multiLevelType w:val="hybridMultilevel"/>
    <w:tmpl w:val="46D61486"/>
    <w:lvl w:ilvl="0" w:tplc="4A8E7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CC2A0D"/>
    <w:multiLevelType w:val="hybridMultilevel"/>
    <w:tmpl w:val="F7869C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66BB1"/>
    <w:multiLevelType w:val="hybridMultilevel"/>
    <w:tmpl w:val="6B32C03E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6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2"/>
  </w:num>
  <w:num w:numId="14">
    <w:abstractNumId w:val="27"/>
  </w:num>
  <w:num w:numId="15">
    <w:abstractNumId w:val="23"/>
  </w:num>
  <w:num w:numId="16">
    <w:abstractNumId w:val="9"/>
  </w:num>
  <w:num w:numId="17">
    <w:abstractNumId w:val="25"/>
  </w:num>
  <w:num w:numId="18">
    <w:abstractNumId w:val="16"/>
  </w:num>
  <w:num w:numId="19">
    <w:abstractNumId w:val="24"/>
  </w:num>
  <w:num w:numId="20">
    <w:abstractNumId w:val="4"/>
  </w:num>
  <w:num w:numId="21">
    <w:abstractNumId w:val="17"/>
  </w:num>
  <w:num w:numId="22">
    <w:abstractNumId w:val="21"/>
  </w:num>
  <w:num w:numId="23">
    <w:abstractNumId w:val="18"/>
  </w:num>
  <w:num w:numId="24">
    <w:abstractNumId w:val="22"/>
  </w:num>
  <w:num w:numId="25">
    <w:abstractNumId w:val="11"/>
  </w:num>
  <w:num w:numId="26">
    <w:abstractNumId w:val="0"/>
  </w:num>
  <w:num w:numId="27">
    <w:abstractNumId w:val="28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C2"/>
    <w:rsid w:val="0014424C"/>
    <w:rsid w:val="00404D95"/>
    <w:rsid w:val="004907C2"/>
    <w:rsid w:val="004F440D"/>
    <w:rsid w:val="00E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7F43F8"/>
  <w15:chartTrackingRefBased/>
  <w15:docId w15:val="{B387F879-76CA-4566-BB7D-8C5D9901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907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F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440D"/>
  </w:style>
  <w:style w:type="paragraph" w:styleId="Fuzeile">
    <w:name w:val="footer"/>
    <w:basedOn w:val="Standard"/>
    <w:link w:val="FuzeileZchn"/>
    <w:uiPriority w:val="99"/>
    <w:unhideWhenUsed/>
    <w:rsid w:val="004F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Maierhofer Sabine</dc:creator>
  <cp:keywords/>
  <dc:description/>
  <cp:lastModifiedBy>Maierhofer Sabine</cp:lastModifiedBy>
  <cp:revision>4</cp:revision>
  <cp:lastPrinted>2020-01-22T08:44:00Z</cp:lastPrinted>
  <dcterms:created xsi:type="dcterms:W3CDTF">2020-01-21T12:57:00Z</dcterms:created>
  <dcterms:modified xsi:type="dcterms:W3CDTF">2020-03-30T07:56:00Z</dcterms:modified>
</cp:coreProperties>
</file>